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68" w:rsidRDefault="00EA083E" w:rsidP="00144233">
      <w:pPr>
        <w:pStyle w:val="Heading1"/>
      </w:pPr>
      <w:r>
        <w:t xml:space="preserve">408 </w:t>
      </w:r>
      <w:r w:rsidR="00144233">
        <w:t>(</w:t>
      </w:r>
      <w:r>
        <w:t>g</w:t>
      </w:r>
      <w:r w:rsidR="00144233">
        <w:t>)</w:t>
      </w:r>
      <w:r>
        <w:t xml:space="preserve"> Qualification Questionnaire</w:t>
      </w:r>
    </w:p>
    <w:p w:rsidR="00144233" w:rsidRDefault="00144233" w:rsidP="00144233">
      <w:pPr>
        <w:pStyle w:val="Date"/>
      </w:pPr>
      <w:r>
        <w:t>March 23, 2017</w:t>
      </w:r>
    </w:p>
    <w:p w:rsidR="00144233" w:rsidRDefault="00144233" w:rsidP="00144233">
      <w:pPr>
        <w:pStyle w:val="Heading2"/>
      </w:pPr>
      <w:r>
        <w:t>Introduction</w:t>
      </w:r>
    </w:p>
    <w:p w:rsidR="00144233" w:rsidRDefault="00144233" w:rsidP="00144233">
      <w:r>
        <w:t xml:space="preserve">This Questionnaire is used as the basis for making a preliminary determination of whether a proposed investment advice service </w:t>
      </w:r>
      <w:r w:rsidR="000F077C">
        <w:t xml:space="preserve">(“Service”) </w:t>
      </w:r>
      <w:r>
        <w:t xml:space="preserve">will meet the requirements for an ERISA 408(g) Fiduciary Adviser exemption using the level fee option. </w:t>
      </w:r>
    </w:p>
    <w:p w:rsidR="00144233" w:rsidRDefault="00144233" w:rsidP="00144233">
      <w:r>
        <w:t xml:space="preserve">The opinion produced </w:t>
      </w:r>
      <w:r w:rsidR="000F077C">
        <w:t>is</w:t>
      </w:r>
      <w:r>
        <w:t xml:space="preserve"> based on the accuracy of the answers provided here.</w:t>
      </w:r>
    </w:p>
    <w:p w:rsidR="000F077C" w:rsidRDefault="00957418" w:rsidP="000F077C">
      <w:pPr>
        <w:pStyle w:val="Heading2"/>
      </w:pPr>
      <w:r>
        <w:t>General</w:t>
      </w:r>
      <w:r w:rsidR="00176110">
        <w:t xml:space="preserve"> Questions</w:t>
      </w:r>
    </w:p>
    <w:tbl>
      <w:tblPr>
        <w:tblStyle w:val="GridTable5DarkAccent5"/>
        <w:tblW w:w="0" w:type="auto"/>
        <w:tblLook w:val="04A0" w:firstRow="1" w:lastRow="0" w:firstColumn="1" w:lastColumn="0" w:noHBand="0" w:noVBand="1"/>
      </w:tblPr>
      <w:tblGrid>
        <w:gridCol w:w="1165"/>
        <w:gridCol w:w="2610"/>
        <w:gridCol w:w="5129"/>
      </w:tblGrid>
      <w:tr w:rsidR="00176110" w:rsidTr="0017611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65" w:type="dxa"/>
          </w:tcPr>
          <w:p w:rsidR="00176110" w:rsidRDefault="00176110" w:rsidP="00BD2770">
            <w:pPr>
              <w:spacing w:before="60" w:after="60"/>
            </w:pPr>
          </w:p>
        </w:tc>
        <w:tc>
          <w:tcPr>
            <w:tcW w:w="2610" w:type="dxa"/>
          </w:tcPr>
          <w:p w:rsidR="00176110" w:rsidRDefault="0042720C" w:rsidP="00BD2770">
            <w:pPr>
              <w:spacing w:before="60" w:after="60"/>
              <w:cnfStyle w:val="100000000000" w:firstRow="1" w:lastRow="0" w:firstColumn="0" w:lastColumn="0" w:oddVBand="0" w:evenVBand="0" w:oddHBand="0" w:evenHBand="0" w:firstRowFirstColumn="0" w:firstRowLastColumn="0" w:lastRowFirstColumn="0" w:lastRowLastColumn="0"/>
            </w:pPr>
            <w:r>
              <w:t xml:space="preserve">General </w:t>
            </w:r>
            <w:r w:rsidR="00176110">
              <w:t>Question</w:t>
            </w:r>
          </w:p>
        </w:tc>
        <w:tc>
          <w:tcPr>
            <w:tcW w:w="5129" w:type="dxa"/>
          </w:tcPr>
          <w:p w:rsidR="00176110" w:rsidRDefault="00176110" w:rsidP="00BD2770">
            <w:pPr>
              <w:spacing w:before="60" w:after="60"/>
              <w:cnfStyle w:val="100000000000" w:firstRow="1" w:lastRow="0" w:firstColumn="0" w:lastColumn="0" w:oddVBand="0" w:evenVBand="0" w:oddHBand="0" w:evenHBand="0" w:firstRowFirstColumn="0" w:firstRowLastColumn="0" w:lastRowFirstColumn="0" w:lastRowLastColumn="0"/>
            </w:pPr>
            <w:r>
              <w:t>Response</w:t>
            </w:r>
          </w:p>
        </w:tc>
      </w:tr>
      <w:tr w:rsidR="00176110" w:rsidTr="001761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5" w:type="dxa"/>
          </w:tcPr>
          <w:p w:rsidR="00176110" w:rsidRDefault="00A91627" w:rsidP="00B5245F">
            <w:pPr>
              <w:spacing w:before="60" w:after="60"/>
            </w:pPr>
            <w:r>
              <w:t>1.</w:t>
            </w:r>
            <w:r w:rsidR="00B5245F">
              <w:t>1</w:t>
            </w:r>
          </w:p>
        </w:tc>
        <w:tc>
          <w:tcPr>
            <w:tcW w:w="2610" w:type="dxa"/>
          </w:tcPr>
          <w:p w:rsidR="00176110" w:rsidRDefault="00176110" w:rsidP="00BD2770">
            <w:pPr>
              <w:spacing w:before="60" w:after="60"/>
              <w:cnfStyle w:val="000000100000" w:firstRow="0" w:lastRow="0" w:firstColumn="0" w:lastColumn="0" w:oddVBand="0" w:evenVBand="0" w:oddHBand="1" w:evenHBand="0" w:firstRowFirstColumn="0" w:firstRowLastColumn="0" w:lastRowFirstColumn="0" w:lastRowLastColumn="0"/>
            </w:pPr>
            <w:r>
              <w:t>Name of Fiduciary Adviser</w:t>
            </w:r>
          </w:p>
        </w:tc>
        <w:tc>
          <w:tcPr>
            <w:tcW w:w="5129" w:type="dxa"/>
          </w:tcPr>
          <w:p w:rsidR="00176110" w:rsidRDefault="00176110" w:rsidP="00BD2770">
            <w:pPr>
              <w:spacing w:before="60" w:after="60"/>
              <w:cnfStyle w:val="000000100000" w:firstRow="0" w:lastRow="0" w:firstColumn="0" w:lastColumn="0" w:oddVBand="0" w:evenVBand="0" w:oddHBand="1" w:evenHBand="0" w:firstRowFirstColumn="0" w:firstRowLastColumn="0" w:lastRowFirstColumn="0" w:lastRowLastColumn="0"/>
            </w:pPr>
          </w:p>
        </w:tc>
      </w:tr>
      <w:tr w:rsidR="00176110" w:rsidTr="00176110">
        <w:trPr>
          <w:cantSplit/>
        </w:trPr>
        <w:tc>
          <w:tcPr>
            <w:cnfStyle w:val="001000000000" w:firstRow="0" w:lastRow="0" w:firstColumn="1" w:lastColumn="0" w:oddVBand="0" w:evenVBand="0" w:oddHBand="0" w:evenHBand="0" w:firstRowFirstColumn="0" w:firstRowLastColumn="0" w:lastRowFirstColumn="0" w:lastRowLastColumn="0"/>
            <w:tcW w:w="1165" w:type="dxa"/>
          </w:tcPr>
          <w:p w:rsidR="00176110" w:rsidRDefault="00B5245F" w:rsidP="00B5245F">
            <w:pPr>
              <w:spacing w:before="60" w:after="60"/>
            </w:pPr>
            <w:r>
              <w:t>1.2</w:t>
            </w:r>
          </w:p>
        </w:tc>
        <w:tc>
          <w:tcPr>
            <w:tcW w:w="2610" w:type="dxa"/>
          </w:tcPr>
          <w:p w:rsidR="00176110" w:rsidRDefault="00176110" w:rsidP="00A91627">
            <w:pPr>
              <w:spacing w:before="60" w:after="60"/>
              <w:cnfStyle w:val="000000000000" w:firstRow="0" w:lastRow="0" w:firstColumn="0" w:lastColumn="0" w:oddVBand="0" w:evenVBand="0" w:oddHBand="0" w:evenHBand="0" w:firstRowFirstColumn="0" w:firstRowLastColumn="0" w:lastRowFirstColumn="0" w:lastRowLastColumn="0"/>
            </w:pPr>
            <w:r>
              <w:t xml:space="preserve">Description of </w:t>
            </w:r>
            <w:r w:rsidR="00A91627">
              <w:t>S</w:t>
            </w:r>
            <w:r>
              <w:t>ervice</w:t>
            </w:r>
          </w:p>
        </w:tc>
        <w:tc>
          <w:tcPr>
            <w:tcW w:w="5129" w:type="dxa"/>
          </w:tcPr>
          <w:p w:rsidR="00176110" w:rsidRDefault="00176110" w:rsidP="00BD2770">
            <w:pPr>
              <w:spacing w:before="60" w:after="60"/>
              <w:cnfStyle w:val="000000000000" w:firstRow="0" w:lastRow="0" w:firstColumn="0" w:lastColumn="0" w:oddVBand="0" w:evenVBand="0" w:oddHBand="0" w:evenHBand="0" w:firstRowFirstColumn="0" w:firstRowLastColumn="0" w:lastRowFirstColumn="0" w:lastRowLastColumn="0"/>
            </w:pPr>
          </w:p>
        </w:tc>
      </w:tr>
      <w:tr w:rsidR="00176110" w:rsidTr="001761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5" w:type="dxa"/>
          </w:tcPr>
          <w:p w:rsidR="00176110" w:rsidRDefault="00B5245F" w:rsidP="00B5245F">
            <w:pPr>
              <w:spacing w:before="60" w:after="60"/>
            </w:pPr>
            <w:r>
              <w:t>1.3</w:t>
            </w:r>
          </w:p>
        </w:tc>
        <w:tc>
          <w:tcPr>
            <w:tcW w:w="2610" w:type="dxa"/>
          </w:tcPr>
          <w:p w:rsidR="00176110" w:rsidRDefault="00176110" w:rsidP="00BD2770">
            <w:pPr>
              <w:spacing w:before="60" w:after="60"/>
              <w:cnfStyle w:val="000000100000" w:firstRow="0" w:lastRow="0" w:firstColumn="0" w:lastColumn="0" w:oddVBand="0" w:evenVBand="0" w:oddHBand="1" w:evenHBand="0" w:firstRowFirstColumn="0" w:firstRowLastColumn="0" w:lastRowFirstColumn="0" w:lastRowLastColumn="0"/>
            </w:pPr>
            <w:r>
              <w:t>Relevant affiliates of Fiduciary Adviser</w:t>
            </w:r>
          </w:p>
        </w:tc>
        <w:tc>
          <w:tcPr>
            <w:tcW w:w="5129" w:type="dxa"/>
          </w:tcPr>
          <w:p w:rsidR="00176110" w:rsidRDefault="00176110" w:rsidP="00BD2770">
            <w:pPr>
              <w:spacing w:before="60" w:after="60"/>
              <w:cnfStyle w:val="000000100000" w:firstRow="0" w:lastRow="0" w:firstColumn="0" w:lastColumn="0" w:oddVBand="0" w:evenVBand="0" w:oddHBand="1" w:evenHBand="0" w:firstRowFirstColumn="0" w:firstRowLastColumn="0" w:lastRowFirstColumn="0" w:lastRowLastColumn="0"/>
            </w:pPr>
            <w:bookmarkStart w:id="0" w:name="_GoBack"/>
            <w:bookmarkEnd w:id="0"/>
          </w:p>
        </w:tc>
      </w:tr>
      <w:tr w:rsidR="0042720C" w:rsidTr="00176110">
        <w:trPr>
          <w:cantSplit/>
        </w:trPr>
        <w:tc>
          <w:tcPr>
            <w:cnfStyle w:val="001000000000" w:firstRow="0" w:lastRow="0" w:firstColumn="1" w:lastColumn="0" w:oddVBand="0" w:evenVBand="0" w:oddHBand="0" w:evenHBand="0" w:firstRowFirstColumn="0" w:firstRowLastColumn="0" w:lastRowFirstColumn="0" w:lastRowLastColumn="0"/>
            <w:tcW w:w="1165" w:type="dxa"/>
          </w:tcPr>
          <w:p w:rsidR="0042720C" w:rsidRDefault="00B5245F" w:rsidP="00B5245F">
            <w:pPr>
              <w:spacing w:before="60" w:after="60"/>
            </w:pPr>
            <w:r>
              <w:t>1.4</w:t>
            </w:r>
          </w:p>
        </w:tc>
        <w:tc>
          <w:tcPr>
            <w:tcW w:w="2610" w:type="dxa"/>
          </w:tcPr>
          <w:p w:rsidR="0042720C" w:rsidRDefault="0042720C" w:rsidP="00BD2770">
            <w:pPr>
              <w:spacing w:before="60" w:after="60"/>
              <w:cnfStyle w:val="000000000000" w:firstRow="0" w:lastRow="0" w:firstColumn="0" w:lastColumn="0" w:oddVBand="0" w:evenVBand="0" w:oddHBand="0" w:evenHBand="0" w:firstRowFirstColumn="0" w:firstRowLastColumn="0" w:lastRowFirstColumn="0" w:lastRowLastColumn="0"/>
            </w:pPr>
            <w:r>
              <w:t>Describe the platform of securities to be used in connection with the Service and criteria for investment selection.</w:t>
            </w:r>
          </w:p>
        </w:tc>
        <w:tc>
          <w:tcPr>
            <w:tcW w:w="5129" w:type="dxa"/>
          </w:tcPr>
          <w:p w:rsidR="0042720C" w:rsidRDefault="0042720C" w:rsidP="00BD2770">
            <w:pPr>
              <w:spacing w:before="60" w:after="60"/>
              <w:cnfStyle w:val="000000000000" w:firstRow="0" w:lastRow="0" w:firstColumn="0" w:lastColumn="0" w:oddVBand="0" w:evenVBand="0" w:oddHBand="0" w:evenHBand="0" w:firstRowFirstColumn="0" w:firstRowLastColumn="0" w:lastRowFirstColumn="0" w:lastRowLastColumn="0"/>
            </w:pPr>
          </w:p>
        </w:tc>
      </w:tr>
      <w:tr w:rsidR="00A91627" w:rsidTr="001761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5" w:type="dxa"/>
          </w:tcPr>
          <w:p w:rsidR="00A91627" w:rsidRDefault="00B5245F" w:rsidP="00B5245F">
            <w:pPr>
              <w:spacing w:before="60" w:after="60"/>
            </w:pPr>
            <w:r>
              <w:t>1.5</w:t>
            </w:r>
          </w:p>
        </w:tc>
        <w:tc>
          <w:tcPr>
            <w:tcW w:w="2610" w:type="dxa"/>
          </w:tcPr>
          <w:p w:rsidR="00A91627" w:rsidRDefault="00A91627" w:rsidP="00BD2770">
            <w:pPr>
              <w:spacing w:before="60" w:after="60"/>
              <w:cnfStyle w:val="000000100000" w:firstRow="0" w:lastRow="0" w:firstColumn="0" w:lastColumn="0" w:oddVBand="0" w:evenVBand="0" w:oddHBand="1" w:evenHBand="0" w:firstRowFirstColumn="0" w:firstRowLastColumn="0" w:lastRowFirstColumn="0" w:lastRowLastColumn="0"/>
            </w:pPr>
            <w:r>
              <w:t>Describe method used to determine recommendation from information provided by client.</w:t>
            </w:r>
          </w:p>
        </w:tc>
        <w:tc>
          <w:tcPr>
            <w:tcW w:w="5129" w:type="dxa"/>
          </w:tcPr>
          <w:p w:rsidR="00A91627" w:rsidRDefault="00A91627" w:rsidP="00BD2770">
            <w:pPr>
              <w:spacing w:before="60" w:after="60"/>
              <w:cnfStyle w:val="000000100000" w:firstRow="0" w:lastRow="0" w:firstColumn="0" w:lastColumn="0" w:oddVBand="0" w:evenVBand="0" w:oddHBand="1" w:evenHBand="0" w:firstRowFirstColumn="0" w:firstRowLastColumn="0" w:lastRowFirstColumn="0" w:lastRowLastColumn="0"/>
            </w:pPr>
          </w:p>
        </w:tc>
      </w:tr>
      <w:tr w:rsidR="003E2401" w:rsidTr="00176110">
        <w:trPr>
          <w:cantSplit/>
        </w:trPr>
        <w:tc>
          <w:tcPr>
            <w:cnfStyle w:val="001000000000" w:firstRow="0" w:lastRow="0" w:firstColumn="1" w:lastColumn="0" w:oddVBand="0" w:evenVBand="0" w:oddHBand="0" w:evenHBand="0" w:firstRowFirstColumn="0" w:firstRowLastColumn="0" w:lastRowFirstColumn="0" w:lastRowLastColumn="0"/>
            <w:tcW w:w="1165" w:type="dxa"/>
          </w:tcPr>
          <w:p w:rsidR="003E2401" w:rsidRDefault="003E2401" w:rsidP="00B5245F">
            <w:pPr>
              <w:spacing w:before="60" w:after="60"/>
            </w:pPr>
            <w:r>
              <w:t>1.6</w:t>
            </w:r>
          </w:p>
        </w:tc>
        <w:tc>
          <w:tcPr>
            <w:tcW w:w="2610" w:type="dxa"/>
          </w:tcPr>
          <w:p w:rsidR="003E2401" w:rsidRDefault="003E2401" w:rsidP="00BD2770">
            <w:pPr>
              <w:spacing w:before="60" w:after="60"/>
              <w:cnfStyle w:val="000000000000" w:firstRow="0" w:lastRow="0" w:firstColumn="0" w:lastColumn="0" w:oddVBand="0" w:evenVBand="0" w:oddHBand="0" w:evenHBand="0" w:firstRowFirstColumn="0" w:firstRowLastColumn="0" w:lastRowFirstColumn="0" w:lastRowLastColumn="0"/>
            </w:pPr>
            <w:r>
              <w:t>Describe assumptions made in determining what recommendations are made.</w:t>
            </w:r>
          </w:p>
        </w:tc>
        <w:tc>
          <w:tcPr>
            <w:tcW w:w="5129" w:type="dxa"/>
          </w:tcPr>
          <w:p w:rsidR="003E2401" w:rsidRDefault="003E2401" w:rsidP="00BD2770">
            <w:pPr>
              <w:spacing w:before="60" w:after="60"/>
              <w:cnfStyle w:val="000000000000" w:firstRow="0" w:lastRow="0" w:firstColumn="0" w:lastColumn="0" w:oddVBand="0" w:evenVBand="0" w:oddHBand="0" w:evenHBand="0" w:firstRowFirstColumn="0" w:firstRowLastColumn="0" w:lastRowFirstColumn="0" w:lastRowLastColumn="0"/>
            </w:pPr>
          </w:p>
        </w:tc>
      </w:tr>
    </w:tbl>
    <w:p w:rsidR="00176110" w:rsidRDefault="00176110" w:rsidP="00176110"/>
    <w:p w:rsidR="00176110" w:rsidRPr="00176110" w:rsidRDefault="00176110" w:rsidP="00176110">
      <w:pPr>
        <w:pStyle w:val="Heading2"/>
      </w:pPr>
      <w:r>
        <w:t>Service Questions</w:t>
      </w:r>
    </w:p>
    <w:tbl>
      <w:tblPr>
        <w:tblStyle w:val="GridTable5DarkAccent5"/>
        <w:tblW w:w="0" w:type="auto"/>
        <w:tblLook w:val="04A0" w:firstRow="1" w:lastRow="0" w:firstColumn="1" w:lastColumn="0" w:noHBand="0" w:noVBand="1"/>
      </w:tblPr>
      <w:tblGrid>
        <w:gridCol w:w="1165"/>
        <w:gridCol w:w="5760"/>
        <w:gridCol w:w="1979"/>
      </w:tblGrid>
      <w:tr w:rsidR="000F077C" w:rsidTr="0017611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65" w:type="dxa"/>
          </w:tcPr>
          <w:p w:rsidR="000F077C" w:rsidRDefault="000F077C" w:rsidP="000F077C">
            <w:pPr>
              <w:spacing w:before="60" w:after="60"/>
            </w:pPr>
          </w:p>
        </w:tc>
        <w:tc>
          <w:tcPr>
            <w:tcW w:w="5760" w:type="dxa"/>
          </w:tcPr>
          <w:p w:rsidR="000F077C" w:rsidRDefault="0042720C" w:rsidP="000F077C">
            <w:pPr>
              <w:spacing w:before="60" w:after="60"/>
              <w:cnfStyle w:val="100000000000" w:firstRow="1" w:lastRow="0" w:firstColumn="0" w:lastColumn="0" w:oddVBand="0" w:evenVBand="0" w:oddHBand="0" w:evenHBand="0" w:firstRowFirstColumn="0" w:firstRowLastColumn="0" w:lastRowFirstColumn="0" w:lastRowLastColumn="0"/>
            </w:pPr>
            <w:r>
              <w:t xml:space="preserve">Service </w:t>
            </w:r>
            <w:r w:rsidR="000F077C">
              <w:t>Question</w:t>
            </w:r>
          </w:p>
        </w:tc>
        <w:tc>
          <w:tcPr>
            <w:tcW w:w="1979" w:type="dxa"/>
          </w:tcPr>
          <w:p w:rsidR="000F077C" w:rsidRDefault="000F077C" w:rsidP="000F077C">
            <w:pPr>
              <w:spacing w:before="60" w:after="60"/>
              <w:cnfStyle w:val="100000000000" w:firstRow="1" w:lastRow="0" w:firstColumn="0" w:lastColumn="0" w:oddVBand="0" w:evenVBand="0" w:oddHBand="0" w:evenHBand="0" w:firstRowFirstColumn="0" w:firstRowLastColumn="0" w:lastRowFirstColumn="0" w:lastRowLastColumn="0"/>
            </w:pPr>
            <w:r>
              <w:t>Response</w:t>
            </w:r>
          </w:p>
        </w:tc>
      </w:tr>
      <w:tr w:rsidR="000F077C" w:rsidTr="001761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5" w:type="dxa"/>
          </w:tcPr>
          <w:p w:rsidR="000F077C" w:rsidRDefault="00B5245F" w:rsidP="00B5245F">
            <w:pPr>
              <w:spacing w:before="60" w:after="60"/>
            </w:pPr>
            <w:r>
              <w:lastRenderedPageBreak/>
              <w:t>2.1</w:t>
            </w:r>
          </w:p>
        </w:tc>
        <w:tc>
          <w:tcPr>
            <w:tcW w:w="5760" w:type="dxa"/>
          </w:tcPr>
          <w:p w:rsidR="000F077C" w:rsidRDefault="00957418" w:rsidP="000F077C">
            <w:pPr>
              <w:spacing w:before="60" w:after="60"/>
              <w:cnfStyle w:val="000000100000" w:firstRow="0" w:lastRow="0" w:firstColumn="0" w:lastColumn="0" w:oddVBand="0" w:evenVBand="0" w:oddHBand="1" w:evenHBand="0" w:firstRowFirstColumn="0" w:firstRowLastColumn="0" w:lastRowFirstColumn="0" w:lastRowLastColumn="0"/>
            </w:pPr>
            <w:r>
              <w:t>What categories of advice will be provided:</w:t>
            </w:r>
          </w:p>
          <w:p w:rsidR="00957418" w:rsidRPr="00957418" w:rsidRDefault="00957418" w:rsidP="00957418">
            <w:pPr>
              <w:numPr>
                <w:ilvl w:val="0"/>
                <w:numId w:val="5"/>
              </w:numPr>
              <w:spacing w:before="60" w:after="60"/>
              <w:cnfStyle w:val="000000100000" w:firstRow="0" w:lastRow="0" w:firstColumn="0" w:lastColumn="0" w:oddVBand="0" w:evenVBand="0" w:oddHBand="1" w:evenHBand="0" w:firstRowFirstColumn="0" w:firstRowLastColumn="0" w:lastRowFirstColumn="0" w:lastRowLastColumn="0"/>
              <w:rPr>
                <w:sz w:val="20"/>
              </w:rPr>
            </w:pPr>
            <w:r w:rsidRPr="00957418">
              <w:rPr>
                <w:bCs/>
                <w:sz w:val="20"/>
              </w:rPr>
              <w:t>Advisability of acquiring, holding, disposing of, or exchanging, securities or other investment property.</w:t>
            </w:r>
          </w:p>
          <w:p w:rsidR="00957418" w:rsidRPr="00957418" w:rsidRDefault="00957418" w:rsidP="00957418">
            <w:pPr>
              <w:numPr>
                <w:ilvl w:val="0"/>
                <w:numId w:val="5"/>
              </w:numPr>
              <w:spacing w:before="60" w:after="60"/>
              <w:cnfStyle w:val="000000100000" w:firstRow="0" w:lastRow="0" w:firstColumn="0" w:lastColumn="0" w:oddVBand="0" w:evenVBand="0" w:oddHBand="1" w:evenHBand="0" w:firstRowFirstColumn="0" w:firstRowLastColumn="0" w:lastRowFirstColumn="0" w:lastRowLastColumn="0"/>
              <w:rPr>
                <w:sz w:val="20"/>
              </w:rPr>
            </w:pPr>
            <w:r w:rsidRPr="00957418">
              <w:rPr>
                <w:bCs/>
                <w:sz w:val="20"/>
              </w:rPr>
              <w:t>A recommendation as to how securities or other investment property should be invested after the securities or other investment property are rolled over, transferred, or distributed from the plan or IRA.</w:t>
            </w:r>
          </w:p>
          <w:p w:rsidR="00957418" w:rsidRPr="00957418" w:rsidRDefault="00957418" w:rsidP="00957418">
            <w:pPr>
              <w:numPr>
                <w:ilvl w:val="0"/>
                <w:numId w:val="5"/>
              </w:numPr>
              <w:spacing w:before="60" w:after="60"/>
              <w:cnfStyle w:val="000000100000" w:firstRow="0" w:lastRow="0" w:firstColumn="0" w:lastColumn="0" w:oddVBand="0" w:evenVBand="0" w:oddHBand="1" w:evenHBand="0" w:firstRowFirstColumn="0" w:firstRowLastColumn="0" w:lastRowFirstColumn="0" w:lastRowLastColumn="0"/>
              <w:rPr>
                <w:sz w:val="20"/>
              </w:rPr>
            </w:pPr>
            <w:r w:rsidRPr="00957418">
              <w:rPr>
                <w:bCs/>
                <w:sz w:val="20"/>
              </w:rPr>
              <w:t>Selection of an adviser to provide investment advice or investment management services</w:t>
            </w:r>
            <w:r w:rsidRPr="00957418">
              <w:rPr>
                <w:sz w:val="20"/>
              </w:rPr>
              <w:t>.</w:t>
            </w:r>
          </w:p>
          <w:p w:rsidR="00957418" w:rsidRPr="00957418" w:rsidRDefault="00957418" w:rsidP="00957418">
            <w:pPr>
              <w:numPr>
                <w:ilvl w:val="0"/>
                <w:numId w:val="5"/>
              </w:numPr>
              <w:spacing w:before="60" w:after="60"/>
              <w:cnfStyle w:val="000000100000" w:firstRow="0" w:lastRow="0" w:firstColumn="0" w:lastColumn="0" w:oddVBand="0" w:evenVBand="0" w:oddHBand="1" w:evenHBand="0" w:firstRowFirstColumn="0" w:firstRowLastColumn="0" w:lastRowFirstColumn="0" w:lastRowLastColumn="0"/>
              <w:rPr>
                <w:sz w:val="20"/>
              </w:rPr>
            </w:pPr>
            <w:r w:rsidRPr="00957418">
              <w:rPr>
                <w:bCs/>
                <w:sz w:val="20"/>
              </w:rPr>
              <w:t xml:space="preserve">A recommendation of investment management services. </w:t>
            </w:r>
          </w:p>
          <w:p w:rsidR="00957418" w:rsidRPr="00957418" w:rsidRDefault="00957418" w:rsidP="00957418">
            <w:pPr>
              <w:numPr>
                <w:ilvl w:val="0"/>
                <w:numId w:val="5"/>
              </w:numPr>
              <w:spacing w:before="60" w:after="60"/>
              <w:cnfStyle w:val="000000100000" w:firstRow="0" w:lastRow="0" w:firstColumn="0" w:lastColumn="0" w:oddVBand="0" w:evenVBand="0" w:oddHBand="1" w:evenHBand="0" w:firstRowFirstColumn="0" w:firstRowLastColumn="0" w:lastRowFirstColumn="0" w:lastRowLastColumn="0"/>
              <w:rPr>
                <w:sz w:val="20"/>
              </w:rPr>
            </w:pPr>
            <w:r w:rsidRPr="00957418">
              <w:rPr>
                <w:bCs/>
                <w:sz w:val="20"/>
              </w:rPr>
              <w:t>Selection of investment account arrangements (</w:t>
            </w:r>
            <w:r w:rsidRPr="00957418">
              <w:rPr>
                <w:bCs/>
                <w:i/>
                <w:iCs/>
                <w:sz w:val="20"/>
              </w:rPr>
              <w:t xml:space="preserve">e.g., </w:t>
            </w:r>
            <w:r w:rsidRPr="00957418">
              <w:rPr>
                <w:bCs/>
                <w:sz w:val="20"/>
              </w:rPr>
              <w:t>brokerage versus advisory).</w:t>
            </w:r>
          </w:p>
          <w:p w:rsidR="00957418" w:rsidRPr="00957418" w:rsidRDefault="00957418" w:rsidP="00957418">
            <w:pPr>
              <w:numPr>
                <w:ilvl w:val="0"/>
                <w:numId w:val="5"/>
              </w:numPr>
              <w:spacing w:before="60" w:after="60"/>
              <w:cnfStyle w:val="000000100000" w:firstRow="0" w:lastRow="0" w:firstColumn="0" w:lastColumn="0" w:oddVBand="0" w:evenVBand="0" w:oddHBand="1" w:evenHBand="0" w:firstRowFirstColumn="0" w:firstRowLastColumn="0" w:lastRowFirstColumn="0" w:lastRowLastColumn="0"/>
              <w:rPr>
                <w:sz w:val="20"/>
              </w:rPr>
            </w:pPr>
            <w:r w:rsidRPr="00957418">
              <w:rPr>
                <w:bCs/>
                <w:sz w:val="20"/>
              </w:rPr>
              <w:t>A recommendation regarding rollovers, transfers, or distributions from a plan or IRA, including the advisability, amount, form, or destination.</w:t>
            </w:r>
          </w:p>
        </w:tc>
        <w:tc>
          <w:tcPr>
            <w:tcW w:w="1979" w:type="dxa"/>
          </w:tcPr>
          <w:p w:rsidR="000F077C" w:rsidRDefault="000F077C" w:rsidP="000F077C">
            <w:pPr>
              <w:spacing w:before="60" w:after="60"/>
              <w:cnfStyle w:val="000000100000" w:firstRow="0" w:lastRow="0" w:firstColumn="0" w:lastColumn="0" w:oddVBand="0" w:evenVBand="0" w:oddHBand="1" w:evenHBand="0" w:firstRowFirstColumn="0" w:firstRowLastColumn="0" w:lastRowFirstColumn="0" w:lastRowLastColumn="0"/>
            </w:pPr>
          </w:p>
        </w:tc>
      </w:tr>
      <w:tr w:rsidR="000F077C" w:rsidTr="00176110">
        <w:trPr>
          <w:cantSplit/>
        </w:trPr>
        <w:tc>
          <w:tcPr>
            <w:cnfStyle w:val="001000000000" w:firstRow="0" w:lastRow="0" w:firstColumn="1" w:lastColumn="0" w:oddVBand="0" w:evenVBand="0" w:oddHBand="0" w:evenHBand="0" w:firstRowFirstColumn="0" w:firstRowLastColumn="0" w:lastRowFirstColumn="0" w:lastRowLastColumn="0"/>
            <w:tcW w:w="1165" w:type="dxa"/>
          </w:tcPr>
          <w:p w:rsidR="000F077C" w:rsidRDefault="00B5245F" w:rsidP="00B5245F">
            <w:pPr>
              <w:spacing w:before="60" w:after="60"/>
            </w:pPr>
            <w:r>
              <w:t>2.2</w:t>
            </w:r>
          </w:p>
        </w:tc>
        <w:tc>
          <w:tcPr>
            <w:tcW w:w="5760" w:type="dxa"/>
          </w:tcPr>
          <w:p w:rsidR="000F077C" w:rsidRDefault="00957418" w:rsidP="000F077C">
            <w:pPr>
              <w:spacing w:before="60" w:after="60"/>
              <w:cnfStyle w:val="000000000000" w:firstRow="0" w:lastRow="0" w:firstColumn="0" w:lastColumn="0" w:oddVBand="0" w:evenVBand="0" w:oddHBand="0" w:evenHBand="0" w:firstRowFirstColumn="0" w:firstRowLastColumn="0" w:lastRowFirstColumn="0" w:lastRowLastColumn="0"/>
            </w:pPr>
            <w:r>
              <w:t>Which of the following investment goals apply to the Service:</w:t>
            </w:r>
          </w:p>
          <w:p w:rsidR="00957418" w:rsidRPr="00957418" w:rsidRDefault="00957418" w:rsidP="00957418">
            <w:pPr>
              <w:numPr>
                <w:ilvl w:val="0"/>
                <w:numId w:val="7"/>
              </w:numPr>
              <w:spacing w:before="60" w:after="60"/>
              <w:cnfStyle w:val="000000000000" w:firstRow="0" w:lastRow="0" w:firstColumn="0" w:lastColumn="0" w:oddVBand="0" w:evenVBand="0" w:oddHBand="0" w:evenHBand="0" w:firstRowFirstColumn="0" w:firstRowLastColumn="0" w:lastRowFirstColumn="0" w:lastRowLastColumn="0"/>
            </w:pPr>
            <w:r w:rsidRPr="00957418">
              <w:rPr>
                <w:u w:val="single"/>
              </w:rPr>
              <w:t xml:space="preserve">Capital Preservation </w:t>
            </w:r>
            <w:r w:rsidRPr="00957418">
              <w:t>utilizes strategies designed to limit losses in the light of market volatility.</w:t>
            </w:r>
          </w:p>
          <w:p w:rsidR="00957418" w:rsidRPr="00957418" w:rsidRDefault="00957418" w:rsidP="00957418">
            <w:pPr>
              <w:numPr>
                <w:ilvl w:val="0"/>
                <w:numId w:val="7"/>
              </w:numPr>
              <w:spacing w:before="60" w:after="60"/>
              <w:cnfStyle w:val="000000000000" w:firstRow="0" w:lastRow="0" w:firstColumn="0" w:lastColumn="0" w:oddVBand="0" w:evenVBand="0" w:oddHBand="0" w:evenHBand="0" w:firstRowFirstColumn="0" w:firstRowLastColumn="0" w:lastRowFirstColumn="0" w:lastRowLastColumn="0"/>
            </w:pPr>
            <w:r w:rsidRPr="00957418">
              <w:rPr>
                <w:u w:val="single"/>
              </w:rPr>
              <w:t xml:space="preserve">Capital Appreciation </w:t>
            </w:r>
            <w:r w:rsidRPr="00957418">
              <w:t>utilizes strategies to increase the value of the portfolio.</w:t>
            </w:r>
          </w:p>
          <w:p w:rsidR="00957418" w:rsidRDefault="00957418" w:rsidP="000F077C">
            <w:pPr>
              <w:numPr>
                <w:ilvl w:val="0"/>
                <w:numId w:val="7"/>
              </w:numPr>
              <w:spacing w:before="60" w:after="60"/>
              <w:cnfStyle w:val="000000000000" w:firstRow="0" w:lastRow="0" w:firstColumn="0" w:lastColumn="0" w:oddVBand="0" w:evenVBand="0" w:oddHBand="0" w:evenHBand="0" w:firstRowFirstColumn="0" w:firstRowLastColumn="0" w:lastRowFirstColumn="0" w:lastRowLastColumn="0"/>
            </w:pPr>
            <w:r w:rsidRPr="00957418">
              <w:rPr>
                <w:u w:val="single"/>
              </w:rPr>
              <w:t>Income</w:t>
            </w:r>
            <w:r w:rsidRPr="00957418">
              <w:t xml:space="preserve"> utilizes strategies to produce income over a significant period of time.</w:t>
            </w:r>
          </w:p>
        </w:tc>
        <w:tc>
          <w:tcPr>
            <w:tcW w:w="1979" w:type="dxa"/>
          </w:tcPr>
          <w:p w:rsidR="000F077C" w:rsidRDefault="000F077C" w:rsidP="000F077C">
            <w:pPr>
              <w:spacing w:before="60" w:after="60"/>
              <w:cnfStyle w:val="000000000000" w:firstRow="0" w:lastRow="0" w:firstColumn="0" w:lastColumn="0" w:oddVBand="0" w:evenVBand="0" w:oddHBand="0" w:evenHBand="0" w:firstRowFirstColumn="0" w:firstRowLastColumn="0" w:lastRowFirstColumn="0" w:lastRowLastColumn="0"/>
            </w:pPr>
          </w:p>
        </w:tc>
      </w:tr>
      <w:tr w:rsidR="000F077C" w:rsidTr="001761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5" w:type="dxa"/>
          </w:tcPr>
          <w:p w:rsidR="000F077C" w:rsidRDefault="00B5245F" w:rsidP="000F077C">
            <w:pPr>
              <w:spacing w:before="60" w:after="60"/>
            </w:pPr>
            <w:r>
              <w:lastRenderedPageBreak/>
              <w:t>2.3</w:t>
            </w:r>
          </w:p>
        </w:tc>
        <w:tc>
          <w:tcPr>
            <w:tcW w:w="5760" w:type="dxa"/>
          </w:tcPr>
          <w:p w:rsidR="000F077C" w:rsidRDefault="00957418" w:rsidP="000F077C">
            <w:pPr>
              <w:spacing w:before="60" w:after="60"/>
              <w:cnfStyle w:val="000000100000" w:firstRow="0" w:lastRow="0" w:firstColumn="0" w:lastColumn="0" w:oddVBand="0" w:evenVBand="0" w:oddHBand="1" w:evenHBand="0" w:firstRowFirstColumn="0" w:firstRowLastColumn="0" w:lastRowFirstColumn="0" w:lastRowLastColumn="0"/>
            </w:pPr>
            <w:r>
              <w:t xml:space="preserve">Which of the following conditions are </w:t>
            </w:r>
            <w:r w:rsidR="00176110">
              <w:t xml:space="preserve">or will be </w:t>
            </w:r>
            <w:r>
              <w:t>met by the Fiduciary Adviser:</w:t>
            </w:r>
          </w:p>
          <w:p w:rsidR="00957418" w:rsidRPr="00957418" w:rsidRDefault="00957418" w:rsidP="00957418">
            <w:pPr>
              <w:numPr>
                <w:ilvl w:val="0"/>
                <w:numId w:val="9"/>
              </w:numPr>
              <w:spacing w:before="60" w:after="60"/>
              <w:cnfStyle w:val="000000100000" w:firstRow="0" w:lastRow="0" w:firstColumn="0" w:lastColumn="0" w:oddVBand="0" w:evenVBand="0" w:oddHBand="1" w:evenHBand="0" w:firstRowFirstColumn="0" w:firstRowLastColumn="0" w:lastRowFirstColumn="0" w:lastRowLastColumn="0"/>
            </w:pPr>
            <w:r w:rsidRPr="00957418">
              <w:t>Compliance with all applicable securities laws (Federal and State). This compliance is evidenced by making the required disclosures to retirement investors and responsible fiduciaries.</w:t>
            </w:r>
          </w:p>
          <w:p w:rsidR="00957418" w:rsidRPr="00957418" w:rsidRDefault="00957418" w:rsidP="00957418">
            <w:pPr>
              <w:numPr>
                <w:ilvl w:val="0"/>
                <w:numId w:val="9"/>
              </w:numPr>
              <w:spacing w:before="60" w:after="60"/>
              <w:cnfStyle w:val="000000100000" w:firstRow="0" w:lastRow="0" w:firstColumn="0" w:lastColumn="0" w:oddVBand="0" w:evenVBand="0" w:oddHBand="1" w:evenHBand="0" w:firstRowFirstColumn="0" w:firstRowLastColumn="0" w:lastRowFirstColumn="0" w:lastRowLastColumn="0"/>
            </w:pPr>
            <w:r w:rsidRPr="00957418">
              <w:t>The use of 408(g) is limited to non-discretionary business in which an affirmative choice is made by the retirement investor. 408(g) does permit systematic investing and rebalancing without an affirmative choice for each transaction.</w:t>
            </w:r>
          </w:p>
          <w:p w:rsidR="00957418" w:rsidRDefault="00957418" w:rsidP="00957418">
            <w:pPr>
              <w:numPr>
                <w:ilvl w:val="0"/>
                <w:numId w:val="9"/>
              </w:numPr>
              <w:spacing w:before="60" w:after="60"/>
              <w:cnfStyle w:val="000000100000" w:firstRow="0" w:lastRow="0" w:firstColumn="0" w:lastColumn="0" w:oddVBand="0" w:evenVBand="0" w:oddHBand="1" w:evenHBand="0" w:firstRowFirstColumn="0" w:firstRowLastColumn="0" w:lastRowFirstColumn="0" w:lastRowLastColumn="0"/>
            </w:pPr>
            <w:r w:rsidRPr="00957418">
              <w:t>The Fiduciary Adviser’s compensation must be reasonable. The preferred definition of reasonableness of compensation is the Gartenberg Standard, which has been affirmed by the Supreme Court (2011 Jones v. Harris). Gartenberg requires that five factors are considered in determining if compensation is reasonable (services provided, performance, adviser cost and profit, economies of scale and benefits to the retirement investor).</w:t>
            </w:r>
            <w:r>
              <w:t xml:space="preserve"> </w:t>
            </w:r>
          </w:p>
          <w:p w:rsidR="00957418" w:rsidRDefault="00957418" w:rsidP="00957418">
            <w:pPr>
              <w:numPr>
                <w:ilvl w:val="0"/>
                <w:numId w:val="9"/>
              </w:numPr>
              <w:spacing w:before="60" w:after="60"/>
              <w:cnfStyle w:val="000000100000" w:firstRow="0" w:lastRow="0" w:firstColumn="0" w:lastColumn="0" w:oddVBand="0" w:evenVBand="0" w:oddHBand="1" w:evenHBand="0" w:firstRowFirstColumn="0" w:firstRowLastColumn="0" w:lastRowFirstColumn="0" w:lastRowLastColumn="0"/>
            </w:pPr>
            <w:r w:rsidRPr="00957418">
              <w:t>Terms of the arrangement must be as favorable as terms offered to other</w:t>
            </w:r>
            <w:r w:rsidR="00B5672A">
              <w:t>s</w:t>
            </w:r>
            <w:r w:rsidRPr="00957418">
              <w:t xml:space="preserve"> who have no other relationships with the advisor.</w:t>
            </w:r>
          </w:p>
        </w:tc>
        <w:tc>
          <w:tcPr>
            <w:tcW w:w="1979" w:type="dxa"/>
          </w:tcPr>
          <w:p w:rsidR="000F077C" w:rsidRDefault="000F077C" w:rsidP="000F077C">
            <w:pPr>
              <w:spacing w:before="60" w:after="60"/>
              <w:cnfStyle w:val="000000100000" w:firstRow="0" w:lastRow="0" w:firstColumn="0" w:lastColumn="0" w:oddVBand="0" w:evenVBand="0" w:oddHBand="1" w:evenHBand="0" w:firstRowFirstColumn="0" w:firstRowLastColumn="0" w:lastRowFirstColumn="0" w:lastRowLastColumn="0"/>
            </w:pPr>
          </w:p>
        </w:tc>
      </w:tr>
      <w:tr w:rsidR="00176110" w:rsidTr="00176110">
        <w:trPr>
          <w:cantSplit/>
        </w:trPr>
        <w:tc>
          <w:tcPr>
            <w:cnfStyle w:val="001000000000" w:firstRow="0" w:lastRow="0" w:firstColumn="1" w:lastColumn="0" w:oddVBand="0" w:evenVBand="0" w:oddHBand="0" w:evenHBand="0" w:firstRowFirstColumn="0" w:firstRowLastColumn="0" w:lastRowFirstColumn="0" w:lastRowLastColumn="0"/>
            <w:tcW w:w="1165" w:type="dxa"/>
          </w:tcPr>
          <w:p w:rsidR="00176110" w:rsidRDefault="00B5245F" w:rsidP="00B5245F">
            <w:pPr>
              <w:spacing w:before="60" w:after="60"/>
            </w:pPr>
            <w:r>
              <w:t>2.4</w:t>
            </w:r>
          </w:p>
        </w:tc>
        <w:tc>
          <w:tcPr>
            <w:tcW w:w="5760" w:type="dxa"/>
          </w:tcPr>
          <w:p w:rsidR="00176110" w:rsidRDefault="00176110" w:rsidP="00213FD1">
            <w:pPr>
              <w:spacing w:before="60" w:after="60"/>
              <w:cnfStyle w:val="000000000000" w:firstRow="0" w:lastRow="0" w:firstColumn="0" w:lastColumn="0" w:oddVBand="0" w:evenVBand="0" w:oddHBand="0" w:evenHBand="0" w:firstRowFirstColumn="0" w:firstRowLastColumn="0" w:lastRowFirstColumn="0" w:lastRowLastColumn="0"/>
            </w:pPr>
            <w:r>
              <w:t>Are pre-buil</w:t>
            </w:r>
            <w:r w:rsidR="00213FD1">
              <w:t>t</w:t>
            </w:r>
            <w:r>
              <w:t xml:space="preserve"> portfolios used for the Service?</w:t>
            </w:r>
          </w:p>
        </w:tc>
        <w:tc>
          <w:tcPr>
            <w:tcW w:w="1979" w:type="dxa"/>
          </w:tcPr>
          <w:p w:rsidR="00176110" w:rsidRDefault="00176110" w:rsidP="000F077C">
            <w:pPr>
              <w:spacing w:before="60" w:after="60"/>
              <w:cnfStyle w:val="000000000000" w:firstRow="0" w:lastRow="0" w:firstColumn="0" w:lastColumn="0" w:oddVBand="0" w:evenVBand="0" w:oddHBand="0" w:evenHBand="0" w:firstRowFirstColumn="0" w:firstRowLastColumn="0" w:lastRowFirstColumn="0" w:lastRowLastColumn="0"/>
            </w:pPr>
          </w:p>
        </w:tc>
      </w:tr>
      <w:tr w:rsidR="00176110" w:rsidTr="001761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5" w:type="dxa"/>
          </w:tcPr>
          <w:p w:rsidR="00176110" w:rsidRDefault="00B5245F" w:rsidP="00B5245F">
            <w:pPr>
              <w:spacing w:before="60" w:after="60"/>
            </w:pPr>
            <w:r>
              <w:t>2.6</w:t>
            </w:r>
          </w:p>
        </w:tc>
        <w:tc>
          <w:tcPr>
            <w:tcW w:w="5760" w:type="dxa"/>
          </w:tcPr>
          <w:p w:rsidR="00176110" w:rsidRDefault="00176110" w:rsidP="000F077C">
            <w:pPr>
              <w:spacing w:before="60" w:after="60"/>
              <w:cnfStyle w:val="000000100000" w:firstRow="0" w:lastRow="0" w:firstColumn="0" w:lastColumn="0" w:oddVBand="0" w:evenVBand="0" w:oddHBand="1" w:evenHBand="0" w:firstRowFirstColumn="0" w:firstRowLastColumn="0" w:lastRowFirstColumn="0" w:lastRowLastColumn="0"/>
            </w:pPr>
            <w:r>
              <w:t>Are thresholds or minimums required?</w:t>
            </w:r>
          </w:p>
        </w:tc>
        <w:tc>
          <w:tcPr>
            <w:tcW w:w="1979" w:type="dxa"/>
          </w:tcPr>
          <w:p w:rsidR="00176110" w:rsidRDefault="00176110" w:rsidP="000F077C">
            <w:pPr>
              <w:spacing w:before="60" w:after="60"/>
              <w:cnfStyle w:val="000000100000" w:firstRow="0" w:lastRow="0" w:firstColumn="0" w:lastColumn="0" w:oddVBand="0" w:evenVBand="0" w:oddHBand="1" w:evenHBand="0" w:firstRowFirstColumn="0" w:firstRowLastColumn="0" w:lastRowFirstColumn="0" w:lastRowLastColumn="0"/>
            </w:pPr>
          </w:p>
        </w:tc>
      </w:tr>
      <w:tr w:rsidR="00176110" w:rsidTr="00176110">
        <w:trPr>
          <w:cantSplit/>
        </w:trPr>
        <w:tc>
          <w:tcPr>
            <w:cnfStyle w:val="001000000000" w:firstRow="0" w:lastRow="0" w:firstColumn="1" w:lastColumn="0" w:oddVBand="0" w:evenVBand="0" w:oddHBand="0" w:evenHBand="0" w:firstRowFirstColumn="0" w:firstRowLastColumn="0" w:lastRowFirstColumn="0" w:lastRowLastColumn="0"/>
            <w:tcW w:w="1165" w:type="dxa"/>
          </w:tcPr>
          <w:p w:rsidR="00176110" w:rsidRDefault="00B5245F" w:rsidP="000F077C">
            <w:pPr>
              <w:spacing w:before="60" w:after="60"/>
            </w:pPr>
            <w:r>
              <w:t>2.7</w:t>
            </w:r>
          </w:p>
        </w:tc>
        <w:tc>
          <w:tcPr>
            <w:tcW w:w="5760" w:type="dxa"/>
          </w:tcPr>
          <w:p w:rsidR="00176110" w:rsidRDefault="0042720C" w:rsidP="000F077C">
            <w:pPr>
              <w:spacing w:before="60" w:after="60"/>
              <w:cnfStyle w:val="000000000000" w:firstRow="0" w:lastRow="0" w:firstColumn="0" w:lastColumn="0" w:oddVBand="0" w:evenVBand="0" w:oddHBand="0" w:evenHBand="0" w:firstRowFirstColumn="0" w:firstRowLastColumn="0" w:lastRowFirstColumn="0" w:lastRowLastColumn="0"/>
            </w:pPr>
            <w:r>
              <w:t>Which of the following are requested from clients of the Service?</w:t>
            </w:r>
          </w:p>
          <w:p w:rsidR="0042720C" w:rsidRPr="0042720C" w:rsidRDefault="0042720C" w:rsidP="0042720C">
            <w:pPr>
              <w:numPr>
                <w:ilvl w:val="0"/>
                <w:numId w:val="11"/>
              </w:numPr>
              <w:spacing w:before="60" w:after="60"/>
              <w:cnfStyle w:val="000000000000" w:firstRow="0" w:lastRow="0" w:firstColumn="0" w:lastColumn="0" w:oddVBand="0" w:evenVBand="0" w:oddHBand="0" w:evenHBand="0" w:firstRowFirstColumn="0" w:firstRowLastColumn="0" w:lastRowFirstColumn="0" w:lastRowLastColumn="0"/>
            </w:pPr>
            <w:r w:rsidRPr="0042720C">
              <w:t>Information relating to age, time horizons (e.g., life expectancy, retirement age)</w:t>
            </w:r>
          </w:p>
          <w:p w:rsidR="0042720C" w:rsidRPr="0042720C" w:rsidRDefault="0042720C" w:rsidP="0042720C">
            <w:pPr>
              <w:numPr>
                <w:ilvl w:val="0"/>
                <w:numId w:val="11"/>
              </w:numPr>
              <w:spacing w:before="60" w:after="60"/>
              <w:cnfStyle w:val="000000000000" w:firstRow="0" w:lastRow="0" w:firstColumn="0" w:lastColumn="0" w:oddVBand="0" w:evenVBand="0" w:oddHBand="0" w:evenHBand="0" w:firstRowFirstColumn="0" w:firstRowLastColumn="0" w:lastRowFirstColumn="0" w:lastRowLastColumn="0"/>
            </w:pPr>
            <w:r w:rsidRPr="0042720C">
              <w:t>Risk tolerance</w:t>
            </w:r>
          </w:p>
          <w:p w:rsidR="0042720C" w:rsidRPr="0042720C" w:rsidRDefault="0042720C" w:rsidP="0042720C">
            <w:pPr>
              <w:numPr>
                <w:ilvl w:val="0"/>
                <w:numId w:val="11"/>
              </w:numPr>
              <w:spacing w:before="60" w:after="60"/>
              <w:cnfStyle w:val="000000000000" w:firstRow="0" w:lastRow="0" w:firstColumn="0" w:lastColumn="0" w:oddVBand="0" w:evenVBand="0" w:oddHBand="0" w:evenHBand="0" w:firstRowFirstColumn="0" w:firstRowLastColumn="0" w:lastRowFirstColumn="0" w:lastRowLastColumn="0"/>
            </w:pPr>
            <w:r w:rsidRPr="0042720C">
              <w:t>Current investments in designated investment options</w:t>
            </w:r>
          </w:p>
          <w:p w:rsidR="0042720C" w:rsidRPr="0042720C" w:rsidRDefault="0042720C" w:rsidP="0042720C">
            <w:pPr>
              <w:numPr>
                <w:ilvl w:val="0"/>
                <w:numId w:val="11"/>
              </w:numPr>
              <w:spacing w:before="60" w:after="60"/>
              <w:cnfStyle w:val="000000000000" w:firstRow="0" w:lastRow="0" w:firstColumn="0" w:lastColumn="0" w:oddVBand="0" w:evenVBand="0" w:oddHBand="0" w:evenHBand="0" w:firstRowFirstColumn="0" w:firstRowLastColumn="0" w:lastRowFirstColumn="0" w:lastRowLastColumn="0"/>
            </w:pPr>
            <w:r w:rsidRPr="0042720C">
              <w:t>Other assets or sources of income</w:t>
            </w:r>
          </w:p>
          <w:p w:rsidR="0042720C" w:rsidRDefault="0042720C" w:rsidP="0042720C">
            <w:pPr>
              <w:numPr>
                <w:ilvl w:val="0"/>
                <w:numId w:val="11"/>
              </w:numPr>
              <w:spacing w:before="60" w:after="60"/>
              <w:cnfStyle w:val="000000000000" w:firstRow="0" w:lastRow="0" w:firstColumn="0" w:lastColumn="0" w:oddVBand="0" w:evenVBand="0" w:oddHBand="0" w:evenHBand="0" w:firstRowFirstColumn="0" w:firstRowLastColumn="0" w:lastRowFirstColumn="0" w:lastRowLastColumn="0"/>
            </w:pPr>
            <w:r w:rsidRPr="0042720C">
              <w:t>Investment preferences of the participant or beneficiary</w:t>
            </w:r>
          </w:p>
          <w:p w:rsidR="004477B8" w:rsidRPr="0042720C" w:rsidRDefault="004477B8" w:rsidP="0042720C">
            <w:pPr>
              <w:numPr>
                <w:ilvl w:val="0"/>
                <w:numId w:val="11"/>
              </w:numPr>
              <w:spacing w:before="60" w:after="60"/>
              <w:cnfStyle w:val="000000000000" w:firstRow="0" w:lastRow="0" w:firstColumn="0" w:lastColumn="0" w:oddVBand="0" w:evenVBand="0" w:oddHBand="0" w:evenHBand="0" w:firstRowFirstColumn="0" w:firstRowLastColumn="0" w:lastRowFirstColumn="0" w:lastRowLastColumn="0"/>
            </w:pPr>
            <w:r>
              <w:t>Other factors that could affect recommendations</w:t>
            </w:r>
          </w:p>
          <w:p w:rsidR="0042720C" w:rsidRDefault="0042720C" w:rsidP="000F077C">
            <w:pPr>
              <w:numPr>
                <w:ilvl w:val="0"/>
                <w:numId w:val="11"/>
              </w:numPr>
              <w:spacing w:before="60" w:after="60"/>
              <w:cnfStyle w:val="000000000000" w:firstRow="0" w:lastRow="0" w:firstColumn="0" w:lastColumn="0" w:oddVBand="0" w:evenVBand="0" w:oddHBand="0" w:evenHBand="0" w:firstRowFirstColumn="0" w:firstRowLastColumn="0" w:lastRowFirstColumn="0" w:lastRowLastColumn="0"/>
            </w:pPr>
            <w:r w:rsidRPr="0042720C">
              <w:t>Additional variables that Fiduciary Adviser chooses to add</w:t>
            </w:r>
          </w:p>
        </w:tc>
        <w:tc>
          <w:tcPr>
            <w:tcW w:w="1979" w:type="dxa"/>
          </w:tcPr>
          <w:p w:rsidR="00176110" w:rsidRDefault="00176110" w:rsidP="000F077C">
            <w:pPr>
              <w:spacing w:before="60" w:after="60"/>
              <w:cnfStyle w:val="000000000000" w:firstRow="0" w:lastRow="0" w:firstColumn="0" w:lastColumn="0" w:oddVBand="0" w:evenVBand="0" w:oddHBand="0" w:evenHBand="0" w:firstRowFirstColumn="0" w:firstRowLastColumn="0" w:lastRowFirstColumn="0" w:lastRowLastColumn="0"/>
            </w:pPr>
          </w:p>
        </w:tc>
      </w:tr>
      <w:tr w:rsidR="00176110" w:rsidTr="001761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5" w:type="dxa"/>
          </w:tcPr>
          <w:p w:rsidR="00176110" w:rsidRDefault="003E2401" w:rsidP="000F077C">
            <w:pPr>
              <w:spacing w:before="60" w:after="60"/>
            </w:pPr>
            <w:r>
              <w:lastRenderedPageBreak/>
              <w:t>2.8</w:t>
            </w:r>
          </w:p>
        </w:tc>
        <w:tc>
          <w:tcPr>
            <w:tcW w:w="5760" w:type="dxa"/>
          </w:tcPr>
          <w:p w:rsidR="00176110" w:rsidRDefault="00A91627" w:rsidP="000F077C">
            <w:pPr>
              <w:spacing w:before="60" w:after="60"/>
              <w:cnfStyle w:val="000000100000" w:firstRow="0" w:lastRow="0" w:firstColumn="0" w:lastColumn="0" w:oddVBand="0" w:evenVBand="0" w:oddHBand="1" w:evenHBand="0" w:firstRowFirstColumn="0" w:firstRowLastColumn="0" w:lastRowFirstColumn="0" w:lastRowLastColumn="0"/>
            </w:pPr>
            <w:r>
              <w:t xml:space="preserve">Which of the following are presented </w:t>
            </w:r>
            <w:r w:rsidR="000C7EC0">
              <w:t xml:space="preserve">in writing </w:t>
            </w:r>
            <w:r>
              <w:t>with the recommendation:</w:t>
            </w:r>
          </w:p>
          <w:p w:rsidR="003E2401" w:rsidRDefault="003E2401" w:rsidP="00A91627">
            <w:pPr>
              <w:numPr>
                <w:ilvl w:val="0"/>
                <w:numId w:val="13"/>
              </w:numPr>
              <w:spacing w:before="60" w:after="60"/>
              <w:cnfStyle w:val="000000100000" w:firstRow="0" w:lastRow="0" w:firstColumn="0" w:lastColumn="0" w:oddVBand="0" w:evenVBand="0" w:oddHBand="1" w:evenHBand="0" w:firstRowFirstColumn="0" w:firstRowLastColumn="0" w:lastRowFirstColumn="0" w:lastRowLastColumn="0"/>
            </w:pPr>
            <w:r>
              <w:t>Recommendation</w:t>
            </w:r>
          </w:p>
          <w:p w:rsidR="008F7AD7" w:rsidRDefault="008F7AD7" w:rsidP="00A91627">
            <w:pPr>
              <w:numPr>
                <w:ilvl w:val="0"/>
                <w:numId w:val="13"/>
              </w:numPr>
              <w:spacing w:before="60" w:after="60"/>
              <w:cnfStyle w:val="000000100000" w:firstRow="0" w:lastRow="0" w:firstColumn="0" w:lastColumn="0" w:oddVBand="0" w:evenVBand="0" w:oddHBand="1" w:evenHBand="0" w:firstRowFirstColumn="0" w:firstRowLastColumn="0" w:lastRowFirstColumn="0" w:lastRowLastColumn="0"/>
            </w:pPr>
            <w:r w:rsidRPr="008F7AD7">
              <w:t>Reason(s) for recommendation</w:t>
            </w:r>
          </w:p>
          <w:p w:rsidR="00A91627" w:rsidRPr="00A91627" w:rsidRDefault="00A91627" w:rsidP="00A91627">
            <w:pPr>
              <w:numPr>
                <w:ilvl w:val="0"/>
                <w:numId w:val="13"/>
              </w:numPr>
              <w:spacing w:before="60" w:after="60"/>
              <w:cnfStyle w:val="000000100000" w:firstRow="0" w:lastRow="0" w:firstColumn="0" w:lastColumn="0" w:oddVBand="0" w:evenVBand="0" w:oddHBand="1" w:evenHBand="0" w:firstRowFirstColumn="0" w:firstRowLastColumn="0" w:lastRowFirstColumn="0" w:lastRowLastColumn="0"/>
            </w:pPr>
            <w:r w:rsidRPr="00A91627">
              <w:t>Investable assets</w:t>
            </w:r>
          </w:p>
          <w:p w:rsidR="00A91627" w:rsidRPr="00A91627" w:rsidRDefault="00A91627" w:rsidP="00A91627">
            <w:pPr>
              <w:numPr>
                <w:ilvl w:val="0"/>
                <w:numId w:val="13"/>
              </w:numPr>
              <w:spacing w:before="60" w:after="60"/>
              <w:cnfStyle w:val="000000100000" w:firstRow="0" w:lastRow="0" w:firstColumn="0" w:lastColumn="0" w:oddVBand="0" w:evenVBand="0" w:oddHBand="1" w:evenHBand="0" w:firstRowFirstColumn="0" w:firstRowLastColumn="0" w:lastRowFirstColumn="0" w:lastRowLastColumn="0"/>
            </w:pPr>
            <w:r w:rsidRPr="00A91627">
              <w:t>Return goals</w:t>
            </w:r>
          </w:p>
          <w:p w:rsidR="00A91627" w:rsidRPr="00A91627" w:rsidRDefault="00A91627" w:rsidP="00A91627">
            <w:pPr>
              <w:numPr>
                <w:ilvl w:val="0"/>
                <w:numId w:val="13"/>
              </w:numPr>
              <w:spacing w:before="60" w:after="60"/>
              <w:cnfStyle w:val="000000100000" w:firstRow="0" w:lastRow="0" w:firstColumn="0" w:lastColumn="0" w:oddVBand="0" w:evenVBand="0" w:oddHBand="1" w:evenHBand="0" w:firstRowFirstColumn="0" w:firstRowLastColumn="0" w:lastRowFirstColumn="0" w:lastRowLastColumn="0"/>
            </w:pPr>
            <w:r w:rsidRPr="00A91627">
              <w:t>Tolerable risk</w:t>
            </w:r>
          </w:p>
          <w:p w:rsidR="00A91627" w:rsidRPr="00A91627" w:rsidRDefault="00A91627" w:rsidP="00A91627">
            <w:pPr>
              <w:numPr>
                <w:ilvl w:val="0"/>
                <w:numId w:val="13"/>
              </w:numPr>
              <w:spacing w:before="60" w:after="60"/>
              <w:cnfStyle w:val="000000100000" w:firstRow="0" w:lastRow="0" w:firstColumn="0" w:lastColumn="0" w:oddVBand="0" w:evenVBand="0" w:oddHBand="1" w:evenHBand="0" w:firstRowFirstColumn="0" w:firstRowLastColumn="0" w:lastRowFirstColumn="0" w:lastRowLastColumn="0"/>
            </w:pPr>
            <w:r w:rsidRPr="00A91627">
              <w:t>Volatility parameters (Monthly)</w:t>
            </w:r>
          </w:p>
          <w:p w:rsidR="00A91627" w:rsidRPr="00A91627" w:rsidRDefault="00A91627" w:rsidP="00A91627">
            <w:pPr>
              <w:numPr>
                <w:ilvl w:val="0"/>
                <w:numId w:val="13"/>
              </w:numPr>
              <w:spacing w:before="60" w:after="60"/>
              <w:cnfStyle w:val="000000100000" w:firstRow="0" w:lastRow="0" w:firstColumn="0" w:lastColumn="0" w:oddVBand="0" w:evenVBand="0" w:oddHBand="1" w:evenHBand="0" w:firstRowFirstColumn="0" w:firstRowLastColumn="0" w:lastRowFirstColumn="0" w:lastRowLastColumn="0"/>
            </w:pPr>
            <w:r w:rsidRPr="00A91627">
              <w:t>Loss protection (Guaranteed)</w:t>
            </w:r>
          </w:p>
          <w:p w:rsidR="00A91627" w:rsidRPr="00A91627" w:rsidRDefault="00A91627" w:rsidP="00A91627">
            <w:pPr>
              <w:numPr>
                <w:ilvl w:val="0"/>
                <w:numId w:val="13"/>
              </w:numPr>
              <w:spacing w:before="60" w:after="60"/>
              <w:cnfStyle w:val="000000100000" w:firstRow="0" w:lastRow="0" w:firstColumn="0" w:lastColumn="0" w:oddVBand="0" w:evenVBand="0" w:oddHBand="1" w:evenHBand="0" w:firstRowFirstColumn="0" w:firstRowLastColumn="0" w:lastRowFirstColumn="0" w:lastRowLastColumn="0"/>
            </w:pPr>
            <w:r w:rsidRPr="00A91627">
              <w:t>Income required</w:t>
            </w:r>
          </w:p>
          <w:p w:rsidR="00A91627" w:rsidRPr="00A91627" w:rsidRDefault="00A91627" w:rsidP="00A91627">
            <w:pPr>
              <w:numPr>
                <w:ilvl w:val="0"/>
                <w:numId w:val="13"/>
              </w:numPr>
              <w:spacing w:before="60" w:after="60"/>
              <w:cnfStyle w:val="000000100000" w:firstRow="0" w:lastRow="0" w:firstColumn="0" w:lastColumn="0" w:oddVBand="0" w:evenVBand="0" w:oddHBand="1" w:evenHBand="0" w:firstRowFirstColumn="0" w:firstRowLastColumn="0" w:lastRowFirstColumn="0" w:lastRowLastColumn="0"/>
            </w:pPr>
            <w:r w:rsidRPr="00A91627">
              <w:t>Time horizon (years)</w:t>
            </w:r>
          </w:p>
          <w:p w:rsidR="00A91627" w:rsidRPr="00A91627" w:rsidRDefault="00A91627" w:rsidP="00A91627">
            <w:pPr>
              <w:numPr>
                <w:ilvl w:val="0"/>
                <w:numId w:val="13"/>
              </w:numPr>
              <w:spacing w:before="60" w:after="60"/>
              <w:cnfStyle w:val="000000100000" w:firstRow="0" w:lastRow="0" w:firstColumn="0" w:lastColumn="0" w:oddVBand="0" w:evenVBand="0" w:oddHBand="1" w:evenHBand="0" w:firstRowFirstColumn="0" w:firstRowLastColumn="0" w:lastRowFirstColumn="0" w:lastRowLastColumn="0"/>
            </w:pPr>
            <w:r w:rsidRPr="00A91627">
              <w:t>Restrictions and limitations</w:t>
            </w:r>
          </w:p>
          <w:p w:rsidR="00A91627" w:rsidRDefault="00A91627" w:rsidP="00A91627">
            <w:pPr>
              <w:numPr>
                <w:ilvl w:val="0"/>
                <w:numId w:val="13"/>
              </w:numPr>
              <w:spacing w:before="60" w:after="60"/>
              <w:cnfStyle w:val="000000100000" w:firstRow="0" w:lastRow="0" w:firstColumn="0" w:lastColumn="0" w:oddVBand="0" w:evenVBand="0" w:oddHBand="1" w:evenHBand="0" w:firstRowFirstColumn="0" w:firstRowLastColumn="0" w:lastRowFirstColumn="0" w:lastRowLastColumn="0"/>
            </w:pPr>
            <w:r w:rsidRPr="00A91627">
              <w:t>Fee &amp; expense quartile</w:t>
            </w:r>
          </w:p>
          <w:p w:rsidR="004477B8" w:rsidRDefault="004477B8" w:rsidP="004477B8">
            <w:pPr>
              <w:numPr>
                <w:ilvl w:val="0"/>
                <w:numId w:val="13"/>
              </w:numPr>
              <w:spacing w:before="60" w:after="60"/>
              <w:cnfStyle w:val="000000100000" w:firstRow="0" w:lastRow="0" w:firstColumn="0" w:lastColumn="0" w:oddVBand="0" w:evenVBand="0" w:oddHBand="1" w:evenHBand="0" w:firstRowFirstColumn="0" w:firstRowLastColumn="0" w:lastRowFirstColumn="0" w:lastRowLastColumn="0"/>
            </w:pPr>
            <w:r>
              <w:t>Assumptions used in making recommendation</w:t>
            </w:r>
          </w:p>
          <w:p w:rsidR="003E2401" w:rsidRDefault="004477B8" w:rsidP="004477B8">
            <w:pPr>
              <w:numPr>
                <w:ilvl w:val="0"/>
                <w:numId w:val="13"/>
              </w:numPr>
              <w:spacing w:before="60" w:after="60"/>
              <w:cnfStyle w:val="000000100000" w:firstRow="0" w:lastRow="0" w:firstColumn="0" w:lastColumn="0" w:oddVBand="0" w:evenVBand="0" w:oddHBand="1" w:evenHBand="0" w:firstRowFirstColumn="0" w:firstRowLastColumn="0" w:lastRowFirstColumn="0" w:lastRowLastColumn="0"/>
            </w:pPr>
            <w:r>
              <w:t>Expiration date of recommendation</w:t>
            </w:r>
          </w:p>
        </w:tc>
        <w:tc>
          <w:tcPr>
            <w:tcW w:w="1979" w:type="dxa"/>
          </w:tcPr>
          <w:p w:rsidR="00176110" w:rsidRDefault="00176110" w:rsidP="000F077C">
            <w:pPr>
              <w:spacing w:before="60" w:after="60"/>
              <w:cnfStyle w:val="000000100000" w:firstRow="0" w:lastRow="0" w:firstColumn="0" w:lastColumn="0" w:oddVBand="0" w:evenVBand="0" w:oddHBand="1" w:evenHBand="0" w:firstRowFirstColumn="0" w:firstRowLastColumn="0" w:lastRowFirstColumn="0" w:lastRowLastColumn="0"/>
            </w:pPr>
          </w:p>
        </w:tc>
      </w:tr>
    </w:tbl>
    <w:p w:rsidR="000F077C" w:rsidRPr="000F077C" w:rsidRDefault="000F077C" w:rsidP="000F077C"/>
    <w:p w:rsidR="000F077C" w:rsidRPr="00144233" w:rsidRDefault="000F077C" w:rsidP="00144233"/>
    <w:p w:rsidR="00087B68" w:rsidRPr="00C03F00" w:rsidRDefault="00087B68" w:rsidP="00087B68"/>
    <w:sectPr w:rsidR="00087B68" w:rsidRPr="00C03F00" w:rsidSect="002D6D65">
      <w:headerReference w:type="default" r:id="rId8"/>
      <w:footerReference w:type="default" r:id="rId9"/>
      <w:headerReference w:type="first" r:id="rId10"/>
      <w:footerReference w:type="first" r:id="rId11"/>
      <w:pgSz w:w="12240" w:h="15840" w:code="1"/>
      <w:pgMar w:top="1800" w:right="1440" w:bottom="1008" w:left="188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2B" w:rsidRDefault="00626B2B">
      <w:pPr>
        <w:spacing w:before="0"/>
      </w:pPr>
      <w:r>
        <w:separator/>
      </w:r>
    </w:p>
  </w:endnote>
  <w:endnote w:type="continuationSeparator" w:id="0">
    <w:p w:rsidR="00626B2B" w:rsidRDefault="00626B2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00" w:rsidRPr="009E41C0" w:rsidRDefault="00C03F00" w:rsidP="009E41C0">
    <w:pPr>
      <w:pStyle w:val="Footer"/>
    </w:pPr>
    <w:r>
      <w:t>Page |</w:t>
    </w:r>
    <w:r>
      <w:rPr>
        <w:rStyle w:val="PageNumber"/>
      </w:rPr>
      <w:fldChar w:fldCharType="begin"/>
    </w:r>
    <w:r>
      <w:rPr>
        <w:rStyle w:val="PageNumber"/>
      </w:rPr>
      <w:instrText xml:space="preserve"> PAGE </w:instrText>
    </w:r>
    <w:r>
      <w:rPr>
        <w:rStyle w:val="PageNumber"/>
      </w:rPr>
      <w:fldChar w:fldCharType="separate"/>
    </w:r>
    <w:r w:rsidR="00060A64">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00" w:rsidRPr="002D6D65" w:rsidRDefault="008A1002" w:rsidP="002D6D65">
    <w:pPr>
      <w:pStyle w:val="Footer"/>
    </w:pPr>
    <w:r>
      <w:rPr>
        <w:noProof/>
      </w:rPr>
      <w:drawing>
        <wp:anchor distT="0" distB="0" distL="114300" distR="114300" simplePos="0" relativeHeight="251657728" behindDoc="0" locked="0" layoutInCell="1" allowOverlap="1">
          <wp:simplePos x="0" y="0"/>
          <wp:positionH relativeFrom="column">
            <wp:posOffset>-288873</wp:posOffset>
          </wp:positionH>
          <wp:positionV relativeFrom="paragraph">
            <wp:posOffset>30446</wp:posOffset>
          </wp:positionV>
          <wp:extent cx="840921" cy="264635"/>
          <wp:effectExtent l="0" t="0" r="0" b="2540"/>
          <wp:wrapNone/>
          <wp:docPr id="24" name="Picture 24" descr="Dalbar_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albar_Logo_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271" cy="266948"/>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1824" behindDoc="1" locked="0" layoutInCell="1" allowOverlap="1">
              <wp:simplePos x="0" y="0"/>
              <wp:positionH relativeFrom="page">
                <wp:posOffset>628015</wp:posOffset>
              </wp:positionH>
              <wp:positionV relativeFrom="page">
                <wp:posOffset>9401810</wp:posOffset>
              </wp:positionV>
              <wp:extent cx="6448425" cy="247650"/>
              <wp:effectExtent l="0" t="635" r="635"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8425" cy="247650"/>
                      </a:xfrm>
                      <a:prstGeom prst="rect">
                        <a:avLst/>
                      </a:prstGeom>
                      <a:solidFill>
                        <a:srgbClr val="243F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EE51A6" id="Rectangle 30" o:spid="_x0000_s1026" style="position:absolute;margin-left:49.45pt;margin-top:740.3pt;width:507.75pt;height:19.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eR+QIAAFIGAAAOAAAAZHJzL2Uyb0RvYy54bWysVcuO0zAU3SPxD5b3mTybtNGko7bTIKQB&#10;Rswg1m7iNBaJHWy3mYL4d66dPlLYICALy9e5Ob7n3Edu717aBu2pVEzwDPs3HkaUF6JkfJvhT8+5&#10;M8VIacJL0ghOM3ygCt/NX7+67buUBqIWTUklAhCu0r7LcK11l7quKmraEnUjOsrhZSVkSzSYcuuW&#10;kvSA3jZu4Hmx2wtZdlIUVCk4vR9e4rnFrypa6A9VpahGTYYhNm1XadeNWd35LUm3knQ1K45hkL+I&#10;oiWMw6VnqHuiCdpJ9htUywoplKj0TSFaV1QVK6jlAGx87xc2TzXpqOUC4qjuLJP6f7DF+/2jRKzM&#10;cIgRJy2k6COIRvi2oSi0+vSdSsHtqXuUhqHqHkTxRSEuVjW40YWUoq8pKSEqHzCOxzb250MHgL5R&#10;2b2CMYYCQLTp34kSfMhOCyvgSyVbcw1Ig15sng7nPNEXjQo4jKNoGgUTjAp4F0RJPLGBuiQ9fd1J&#10;pd9Q0SKzybAEShad7B+UNtGQ9ORiOYmGlTlrGmvI7WbVSLQnUDNBFObxCV2N3RpunLkwnw2Iwwm1&#10;VTdcQ1IIGbbG0wRvK+L7zA8ibxnMnDyeJk6URxNnlnhTx/Nny1nsRbPoPv9hwvWjtGZlSfkD4/RU&#10;nX70Z9k/9slQV7Y+UW/1JM0WWvVYr1eU1Ji5Zx+bOkj6mHnLNPRsw9oMT89OJDU1sOal7ShNWDPs&#10;3WsWVnqQ4lqRRT7xkiicOkkyCZ0oXHvOcpqvnMXKj+NkvVwt1/61Imursvp3UWwgp5QZQ+yA3VNd&#10;9qhkpnbCySyAui4ZTI0gGfiiQcNCS4yk0J+Zrm29G30NxpWQK/schTyjD0JcLh7pdOR2kQqq9VRH&#10;to1M55gJp9KNKA/QRRCDTS0MYtjUQn7DqIehlmH1dUckxah5y6E/w3iSxDAFx4YcG5uxQXgBUBnW&#10;GA3blR4m566TbFvDTb5ly8UCurditrEuUUH8xoDBZZkch6yZjGPbel1+BfOfAAAA//8DAFBLAwQU&#10;AAYACAAAACEA/DAE2eAAAAANAQAADwAAAGRycy9kb3ducmV2LnhtbEyPTU+EMBCG7yb+h2ZMvLkF&#10;wxJAysZgjIm3Xb1w69JZSqQtabss+uudPeltPp6880y9W83EFvRhdFZAukmAoe2dGu0g4PPj9aEA&#10;FqK0Sk7OooBvDLBrbm9qWSl3sXtcDnFgFGJDJQXoGOeK89BrNDJs3IyWdifnjYzU+oErLy8Ubib+&#10;mCQ5N3K0dEHLGVuN/dfhbAT4l/3JKd7+LMt765NOz2/brhPi/m59fgIWcY1/MFz1SR0acjq6s1WB&#10;TQLKoiSS5lmR5MCuRJpmGbAjVdu0zIE3Nf//RfMLAAD//wMAUEsBAi0AFAAGAAgAAAAhALaDOJL+&#10;AAAA4QEAABMAAAAAAAAAAAAAAAAAAAAAAFtDb250ZW50X1R5cGVzXS54bWxQSwECLQAUAAYACAAA&#10;ACEAOP0h/9YAAACUAQAACwAAAAAAAAAAAAAAAAAvAQAAX3JlbHMvLnJlbHNQSwECLQAUAAYACAAA&#10;ACEAdJzHkfkCAABSBgAADgAAAAAAAAAAAAAAAAAuAgAAZHJzL2Uyb0RvYy54bWxQSwECLQAUAAYA&#10;CAAAACEA/DAE2eAAAAANAQAADwAAAAAAAAAAAAAAAABTBQAAZHJzL2Rvd25yZXYueG1sUEsFBgAA&#10;AAAEAAQA8wAAAGAGAAAAAA==&#10;" fillcolor="#243f60" stroked="f" strokeweight="0" insetpen="t">
              <v:shadow color="#ccc"/>
              <o:lock v:ext="edit" shapetype="t"/>
              <v:textbox inset="2.88pt,2.88pt,2.88pt,2.88pt"/>
              <w10:wrap anchorx="page" anchory="page"/>
            </v:rect>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page">
                <wp:posOffset>1793875</wp:posOffset>
              </wp:positionH>
              <wp:positionV relativeFrom="page">
                <wp:posOffset>9444355</wp:posOffset>
              </wp:positionV>
              <wp:extent cx="5269230" cy="200660"/>
              <wp:effectExtent l="3175" t="0" r="4445" b="3810"/>
              <wp:wrapSquare wrapText="left"/>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69230" cy="200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3F00" w:rsidRPr="000D5843" w:rsidRDefault="00836DF0" w:rsidP="002D6D65">
                          <w:pPr>
                            <w:pStyle w:val="Address1"/>
                            <w:rPr>
                              <w:rFonts w:ascii="Verdana" w:hAnsi="Verdana"/>
                              <w:b/>
                              <w:color w:val="EEECE1"/>
                              <w:sz w:val="14"/>
                              <w:szCs w:val="14"/>
                            </w:rPr>
                          </w:pPr>
                          <w:r>
                            <w:rPr>
                              <w:rFonts w:ascii="Verdana" w:hAnsi="Verdana"/>
                              <w:b/>
                              <w:color w:val="EEECE1"/>
                              <w:sz w:val="14"/>
                              <w:szCs w:val="14"/>
                            </w:rPr>
                            <w:t>303 Congress Street</w:t>
                          </w:r>
                          <w:r w:rsidR="00C03F00" w:rsidRPr="000D5843">
                            <w:rPr>
                              <w:rFonts w:ascii="Verdana" w:hAnsi="Verdana"/>
                              <w:b/>
                              <w:color w:val="EEECE1"/>
                              <w:sz w:val="14"/>
                              <w:szCs w:val="14"/>
                            </w:rPr>
                            <w:t xml:space="preserve"> |Boston, MA 02210 | 617.723.6400 |www.</w:t>
                          </w:r>
                          <w:r w:rsidR="0020064E" w:rsidRPr="0020064E">
                            <w:rPr>
                              <w:rFonts w:ascii="Verdana" w:hAnsi="Verdana"/>
                              <w:b/>
                              <w:smallCaps/>
                              <w:color w:val="EEECE1"/>
                              <w:sz w:val="14"/>
                              <w:szCs w:val="14"/>
                            </w:rPr>
                            <w:t>Dalbar</w:t>
                          </w:r>
                          <w:r w:rsidR="00C03F00" w:rsidRPr="000D5843">
                            <w:rPr>
                              <w:rFonts w:ascii="Verdana" w:hAnsi="Verdana"/>
                              <w:b/>
                              <w:color w:val="EEECE1"/>
                              <w:sz w:val="14"/>
                              <w:szCs w:val="14"/>
                            </w:rPr>
                            <w:t>.com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3" o:spid="_x0000_s1026" type="#_x0000_t202" style="position:absolute;margin-left:141.25pt;margin-top:743.65pt;width:414.9pt;height:15.8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Z7+AIAAJgGAAAOAAAAZHJzL2Uyb0RvYy54bWysVVtvmzAUfp+0/2D5nXIJIYBKp4SEaVJ3&#10;kdr9AAdMsAY2s92QbNp/37FJU5ruYVrHA/KxD5+/79y4fnfoWrSnUjHBM+xfeRhRXoqK8V2Gv94X&#10;ToyR0oRXpBWcZvhIFX538/bN9dCnNBCNaCsqEYBwlQ59hhut+9R1VdnQjqgr0VMOh7WQHdFgyp1b&#10;STIAete6gedF7iBk1UtRUqVgdz0e4huLX9e01J/rWlGN2gwDN23f0r635u3eXJN0J0nfsPJEg/wD&#10;i44wDpeeodZEE/Qg2QuojpVSKFHrq1J0rqhrVlKrAdT43oWau4b01GqB4Kj+HCb1/2DLT/svErEq&#10;wwFGnHSQont60GglDiiYmfAMvUrB664HP32AfUizlar6W1F+U4iLvCF8R5dSiqGhpAJ6PoCdtq2I&#10;+2MPyL7BcyeAI7oy0Nvho6jAhzxoYeEPtexMRCFGCO6E5B3PCTMMS9icB1ESzOCohDNTDpHNqEvS&#10;x697qfR7KjpkFhmWUBAWnexvlTZsSProYi7jomBta4ui5c82wHHcobaqxq9JCkxgaTwNJ5vxn4mX&#10;bOJNHDphEG2c0FuvnWWRh05U+Iv5erbO87X/y7Dww7RhVUW5ufSx+vzw77J76oOxbs71p0TLKgNn&#10;KCm52+atRHsC1V/Yx2YATp7c3Oc0bEhAy4UkPwi9VZA4RRQvnLAI506y8GLH85NVEnlhEq6L55Ju&#10;Gaevl4QGm3nS7mC6nFpswv1ComeflxJJ2jENY6ZlXYbjsxNJTbVueGXzrQlrx/UkIkbFnyOyLObe&#10;IpzFzmIxnznhbOM5q7jInWXuR9Fis8pXm4skb2zhqNcHxaZmUoUTvqc7nihD2T6WqG0802tj1+nD&#10;9gDCTTduRXWEFpQCOgSaCcY5LBohf2A0wGjMsPr+QCTFqP3AoblnkZ/MYZZODTk1tlOD8BKgMqwx&#10;Gpe5HufvQy/ZroGbxnHCxRJav2a2K59YgRRjwPizok6j2szXqW29nn4oN78BAAD//wMAUEsDBBQA&#10;BgAIAAAAIQBCmcpV4gAAAA4BAAAPAAAAZHJzL2Rvd25yZXYueG1sTI9BS8NAEIXvgv9hGcGL2M2m&#10;NqYxmyJFEXoQbIvnabJNQrOzIbtN4793etLbG97Hm/fy1WQ7MZrBt440qFkEwlDpqpZqDfvd+2MK&#10;wgekCjtHRsOP8bAqbm9yzCp3oS8zbkMtOIR8hhqaEPpMSl82xqKfud4Qe0c3WAx8DrWsBrxwuO1k&#10;HEWJtNgSf2iwN+vGlKft2WqQdrlJPgKqt4f192cyx1Gp01Hr+7vp9QVEMFP4g+Fan6tDwZ0O7kyV&#10;F52GOI0XjLLxlD7PQVwRpWJWB1YLlS5BFrn8P6P4BQAA//8DAFBLAQItABQABgAIAAAAIQC2gziS&#10;/gAAAOEBAAATAAAAAAAAAAAAAAAAAAAAAABbQ29udGVudF9UeXBlc10ueG1sUEsBAi0AFAAGAAgA&#10;AAAhADj9If/WAAAAlAEAAAsAAAAAAAAAAAAAAAAALwEAAF9yZWxzLy5yZWxzUEsBAi0AFAAGAAgA&#10;AAAhADtRJnv4AgAAmAYAAA4AAAAAAAAAAAAAAAAALgIAAGRycy9lMm9Eb2MueG1sUEsBAi0AFAAG&#10;AAgAAAAhAEKZylXiAAAADgEAAA8AAAAAAAAAAAAAAAAAUgUAAGRycy9kb3ducmV2LnhtbFBLBQYA&#10;AAAABAAEAPMAAABhBgAAAAA=&#10;" filled="f" stroked="f" strokeweight="0" insetpen="t">
              <o:lock v:ext="edit" shapetype="t"/>
              <v:textbox inset="2.85pt,2.85pt,2.85pt,2.85pt">
                <w:txbxContent>
                  <w:p w:rsidR="00C03F00" w:rsidRPr="000D5843" w:rsidRDefault="00836DF0" w:rsidP="002D6D65">
                    <w:pPr>
                      <w:pStyle w:val="Address1"/>
                      <w:rPr>
                        <w:rFonts w:ascii="Verdana" w:hAnsi="Verdana"/>
                        <w:b/>
                        <w:color w:val="EEECE1"/>
                        <w:sz w:val="14"/>
                        <w:szCs w:val="14"/>
                      </w:rPr>
                    </w:pPr>
                    <w:r>
                      <w:rPr>
                        <w:rFonts w:ascii="Verdana" w:hAnsi="Verdana"/>
                        <w:b/>
                        <w:color w:val="EEECE1"/>
                        <w:sz w:val="14"/>
                        <w:szCs w:val="14"/>
                      </w:rPr>
                      <w:t>303 Congress Street</w:t>
                    </w:r>
                    <w:r w:rsidR="00C03F00" w:rsidRPr="000D5843">
                      <w:rPr>
                        <w:rFonts w:ascii="Verdana" w:hAnsi="Verdana"/>
                        <w:b/>
                        <w:color w:val="EEECE1"/>
                        <w:sz w:val="14"/>
                        <w:szCs w:val="14"/>
                      </w:rPr>
                      <w:t xml:space="preserve"> |Boston, MA 02210 | 617.723.6400 |www.</w:t>
                    </w:r>
                    <w:r w:rsidR="0020064E" w:rsidRPr="0020064E">
                      <w:rPr>
                        <w:rFonts w:ascii="Verdana" w:hAnsi="Verdana"/>
                        <w:b/>
                        <w:smallCaps/>
                        <w:color w:val="EEECE1"/>
                        <w:sz w:val="14"/>
                        <w:szCs w:val="14"/>
                      </w:rPr>
                      <w:t>Dalbar</w:t>
                    </w:r>
                    <w:r w:rsidR="00C03F00" w:rsidRPr="000D5843">
                      <w:rPr>
                        <w:rFonts w:ascii="Verdana" w:hAnsi="Verdana"/>
                        <w:b/>
                        <w:color w:val="EEECE1"/>
                        <w:sz w:val="14"/>
                        <w:szCs w:val="14"/>
                      </w:rPr>
                      <w:t>.com</w:t>
                    </w:r>
                  </w:p>
                </w:txbxContent>
              </v:textbox>
              <w10:wrap type="square" side="lef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2B" w:rsidRDefault="00626B2B">
      <w:pPr>
        <w:spacing w:before="0"/>
      </w:pPr>
      <w:r>
        <w:separator/>
      </w:r>
    </w:p>
  </w:footnote>
  <w:footnote w:type="continuationSeparator" w:id="0">
    <w:p w:rsidR="00626B2B" w:rsidRDefault="00626B2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00" w:rsidRDefault="0020064E" w:rsidP="0020064E">
    <w:pPr>
      <w:pStyle w:val="Header"/>
      <w:jc w:val="center"/>
    </w:pPr>
    <w:r>
      <w:rPr>
        <w:noProof/>
      </w:rPr>
      <w:drawing>
        <wp:anchor distT="0" distB="0" distL="114300" distR="114300" simplePos="0" relativeHeight="251664896" behindDoc="0" locked="0" layoutInCell="1" allowOverlap="1" wp14:anchorId="453EACF6" wp14:editId="107E3023">
          <wp:simplePos x="0" y="0"/>
          <wp:positionH relativeFrom="column">
            <wp:posOffset>2150454</wp:posOffset>
          </wp:positionH>
          <wp:positionV relativeFrom="paragraph">
            <wp:posOffset>-160020</wp:posOffset>
          </wp:positionV>
          <wp:extent cx="1371600" cy="345399"/>
          <wp:effectExtent l="0" t="0" r="0" b="0"/>
          <wp:wrapNone/>
          <wp:docPr id="7" name="Picture 7" descr="C:\Users\LHarvey.LHARVEYSPRO\Documents\Interim Folders\FUD\DALBAR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rvey.LHARVEYSPRO\Documents\Interim Folders\FUD\DALBAR 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53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002">
      <w:rPr>
        <w:noProof/>
      </w:rPr>
      <mc:AlternateContent>
        <mc:Choice Requires="wps">
          <w:drawing>
            <wp:anchor distT="36576" distB="36576" distL="36576" distR="36576" simplePos="0" relativeHeight="251660800" behindDoc="1" locked="0" layoutInCell="1" allowOverlap="1">
              <wp:simplePos x="0" y="0"/>
              <wp:positionH relativeFrom="page">
                <wp:posOffset>628650</wp:posOffset>
              </wp:positionH>
              <wp:positionV relativeFrom="page">
                <wp:posOffset>859155</wp:posOffset>
              </wp:positionV>
              <wp:extent cx="278765" cy="8814435"/>
              <wp:effectExtent l="0" t="1905" r="0" b="381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8765" cy="8814435"/>
                      </a:xfrm>
                      <a:prstGeom prst="rect">
                        <a:avLst/>
                      </a:prstGeom>
                      <a:solidFill>
                        <a:srgbClr val="243F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DFFECE" id="Rectangle 28" o:spid="_x0000_s1026" style="position:absolute;margin-left:49.5pt;margin-top:67.65pt;width:21.95pt;height:694.05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Ws+wIAAFIGAAAOAAAAZHJzL2Uyb0RvYy54bWysVU2PmzAQvVfqf7B8Z/kIAYKWrJJsqCpt&#10;21V3q54dMMEq2NR2QtKq/71jQ7JJe6na5oA8Znie9/xmcnt3aBu0p1IxwTPs33gYUV6IkvFthj89&#10;506CkdKEl6QRnGb4SBW+m79+ddt3KQ1ELZqSSgQgXKV9l+Fa6y51XVXUtCXqRnSUw8tKyJZoCOXW&#10;LSXpAb1t3MDzIrcXsuykKKhSsHs/vMRzi19VtNAfqkpRjZoMQ23aPqV9bszTnd+SdCtJV7NiLIP8&#10;RRUtYRwOPUPdE03QTrLfoFpWSKFEpW8K0bqiqlhBLQdg43u/sHmqSUctFxBHdWeZ1P+DLd7vHyVi&#10;ZYYjjDhp4Yo+gmiEbxuKgsTo03cqhbSn7lEahqp7EMUXhbhY1ZBGF1KKvqakhKp8wBi3be3Pxw4A&#10;fYPiXsGYQAEg2vTvRAk5ZKeFFfBQydYcA9Kgg72n4/me6EGjAjaDOImjKUYFvEoSPwwnU3sESU9f&#10;d1LpN1S0yCwyLIGSRSf7B6VNNSQ9pVhOomFlzprGBnK7WTUS7Ql4JggneWRtAp+oy7SGm2QuzGcD&#10;4rBDreuGY0gKJcPSZJrirSO+z/wg9JbBzMmjJHbCPJw6s9hLHM+fLWeRF87C+/yHKdcP05qVJeUP&#10;jNOTO/3wz25/7JPBV9afqLd6kmYLrTr69YqSumTu2d+o61VayzT0bMNaUP+cRFLjgTUvQQuSasKa&#10;Ye1es7DSgxTXiizyqReHk8SJ4+nECSdrz1km+cpZrPwoitfL1XLtXyuytiqrfxfFFnK6MhOIHbB7&#10;qsselcx4ZzKdBeDrksHUCOKBLxo0LLTESAr9mena+t3oazCuhFzZ3yjkGX0Q4uXgC51Gbi9SgfVO&#10;PrJtZDpn6MuNKI/QRVCDvVoYxLCohfyGUQ9DLcPq645IilHzlkN/TqJpDH2uLwN5GWwuA8ILgMqw&#10;xmhYrvQwOXedZNsaTvItWy4W0L0Vs41lOnuoCuo3AQwuy2QcsmYyXsY26+WvYP4TAAD//wMAUEsD&#10;BBQABgAIAAAAIQARSeQr4AAAAAsBAAAPAAAAZHJzL2Rvd25yZXYueG1sTI/BTsMwEETvlfgHa5G4&#10;tQ5Jg0iIU6EghMSthUtubryNI+J1ZLtp4OtxT3Db3RnNvql2ixnZjM4PlgTcbxJgSJ1VA/UCPj9e&#10;14/AfJCk5GgJBXyjh119s6pkqeyF9jgfQs9iCPlSCtAhTCXnvtNopN/YCSlqJ+uMDHF1PVdOXmK4&#10;GXmaJA/cyIHiBy0nbDR2X4ezEeBe9ierePMzz++NS1o9veVtK8Td7fL8BCzgEv7McMWP6FBHpqM9&#10;k/JsFFAUsUqI9yzPgF0N27QAdoxDnmZb4HXF/3eofwEAAP//AwBQSwECLQAUAAYACAAAACEAtoM4&#10;kv4AAADhAQAAEwAAAAAAAAAAAAAAAAAAAAAAW0NvbnRlbnRfVHlwZXNdLnhtbFBLAQItABQABgAI&#10;AAAAIQA4/SH/1gAAAJQBAAALAAAAAAAAAAAAAAAAAC8BAABfcmVscy8ucmVsc1BLAQItABQABgAI&#10;AAAAIQCMsiWs+wIAAFIGAAAOAAAAAAAAAAAAAAAAAC4CAABkcnMvZTJvRG9jLnhtbFBLAQItABQA&#10;BgAIAAAAIQARSeQr4AAAAAsBAAAPAAAAAAAAAAAAAAAAAFUFAABkcnMvZG93bnJldi54bWxQSwUG&#10;AAAAAAQABADzAAAAYgYAAAAA&#10;" fillcolor="#243f60" stroked="f" strokeweight="0" insetpen="t">
              <v:shadow color="#ccc"/>
              <o:lock v:ext="edit" shapetype="t"/>
              <v:textbox inset="2.88pt,2.88pt,2.88pt,2.88pt"/>
              <w10:wrap anchorx="page" anchory="page"/>
            </v:rect>
          </w:pict>
        </mc:Fallback>
      </mc:AlternateContent>
    </w:r>
    <w:proofErr w:type="gramStart"/>
    <w:r>
      <w:t>x</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00" w:rsidRDefault="00087B68" w:rsidP="00087B68">
    <w:pPr>
      <w:pStyle w:val="Header"/>
      <w:jc w:val="center"/>
    </w:pPr>
    <w:r>
      <w:rPr>
        <w:noProof/>
      </w:rPr>
      <w:drawing>
        <wp:anchor distT="0" distB="0" distL="114300" distR="114300" simplePos="0" relativeHeight="251662848" behindDoc="0" locked="0" layoutInCell="1" allowOverlap="1">
          <wp:simplePos x="0" y="0"/>
          <wp:positionH relativeFrom="column">
            <wp:posOffset>2148840</wp:posOffset>
          </wp:positionH>
          <wp:positionV relativeFrom="paragraph">
            <wp:posOffset>-178091</wp:posOffset>
          </wp:positionV>
          <wp:extent cx="1371600" cy="345399"/>
          <wp:effectExtent l="0" t="0" r="0" b="0"/>
          <wp:wrapNone/>
          <wp:docPr id="1" name="Picture 1" descr="C:\Users\LHarvey.LHARVEYSPRO\Documents\Interim Folders\FUD\DALBAR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rvey.LHARVEYSPRO\Documents\Interim Folders\FUD\DALBAR 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53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002">
      <w:rPr>
        <w:noProof/>
      </w:rPr>
      <mc:AlternateContent>
        <mc:Choice Requires="wps">
          <w:drawing>
            <wp:anchor distT="36576" distB="36576" distL="36576" distR="36576" simplePos="0" relativeHeight="251655680" behindDoc="1" locked="0" layoutInCell="1" allowOverlap="1">
              <wp:simplePos x="0" y="0"/>
              <wp:positionH relativeFrom="page">
                <wp:posOffset>628650</wp:posOffset>
              </wp:positionH>
              <wp:positionV relativeFrom="page">
                <wp:posOffset>802005</wp:posOffset>
              </wp:positionV>
              <wp:extent cx="278765" cy="8814435"/>
              <wp:effectExtent l="0" t="1905" r="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8765" cy="8814435"/>
                      </a:xfrm>
                      <a:prstGeom prst="rect">
                        <a:avLst/>
                      </a:prstGeom>
                      <a:solidFill>
                        <a:srgbClr val="243F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50D80A" id="Rectangle 22" o:spid="_x0000_s1026" style="position:absolute;margin-left:49.5pt;margin-top:63.15pt;width:21.95pt;height:694.0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B0/AIAAFIGAAAOAAAAZHJzL2Uyb0RvYy54bWysVU2PmzAQvVfqf7B8Z/kIAYKWrJJsqCpt&#10;21V3q54dMMEq2NR2QtKq/71jQ7JJe6na5oA8Znie9/xmcnt3aBu0p1IxwTPs33gYUV6IkvFthj89&#10;506CkdKEl6QRnGb4SBW+m79+ddt3KQ1ELZqSSgQgXKV9l+Fa6y51XVXUtCXqRnSUw8tKyJZoCOXW&#10;LSXpAb1t3MDzIrcXsuykKKhSsHs/vMRzi19VtNAfqkpRjZoMQ23aPqV9bszTnd+SdCtJV7NiLIP8&#10;RRUtYRwOPUPdE03QTrLfoFpWSKFEpW8K0bqiqlhBLQdg43u/sHmqSUctFxBHdWeZ1P+DLd7vHyVi&#10;ZYZDjDhp4Yo+gmiEbxuKgsDo03cqhbSn7lEahqp7EMUXhbhY1ZBGF1KKvqakhKp8wBi3be3Pxw4A&#10;fYPiXsGYQAEg2vTvRAk5ZKeFFfBQydYcA9Kgg72n4/me6EGjAjaDOImjKUYFvEoSPwwnU3sESU9f&#10;d1LpN1S0yCwyLIGSRSf7B6VNNSQ9pVhOomFlzprGBnK7WTUS7Ql4JggneWRtAp+oy7SGm2QuzGcD&#10;4rBDreuGY0gKJcPSZJrirSO+z/wg9JbBzMmjJHbCPJw6s9hLHM+fLWeRF87C+/yHKdcP05qVJeUP&#10;jNOTO/3wz25/7JPBV9afqLd6kmYLrTr69YqSumTu2d+o61VayzT0bMNaUP+cRFLjgTUvQQuSasKa&#10;Ye1es7DSgxTXiizyqReHk8SJ4+nECSdrz1km+cpZrPwoitfL1XLtXyuytiqrfxfFFnK6MhOIHbB7&#10;qsselcx4ZzKdBeDrksHUCOKBLxo0LLTESAr9mena+t3oazCuhFzZ3yjkGX0Q4uXgC51Gbi9SgfVO&#10;PrJtZDpn6MuNKI/QRVCDvVoYxLCohfyGUQ9DLcPq645IilHzlkN/TqJpHMEUvAzkZbC5DAgvACrD&#10;GqNhudLD5Nx1km1rOMm3bLlYQPdWzDaW6eyhKqjfBDC4LJNxyJrJeBnbrJe/gvlPAAAA//8DAFBL&#10;AwQUAAYACAAAACEA3eNhzeAAAAALAQAADwAAAGRycy9kb3ducmV2LnhtbEyPwU7DMBBE70j8g7WV&#10;uFGnIa1IiFOhIITErYVLbm7sxlHjdWS7aeDr2Z7obXdnNPum3M52YJP2oXcoYLVMgGlsneqxE/D9&#10;9f74DCxEiUoODrWAHx1gW93flbJQ7oI7Pe1jxygEQyEFmBjHgvPQGm1lWLpRI2lH562MtPqOKy8v&#10;FG4HnibJhlvZI30wctS10e1pf7YC/Nvu6BSvf6fps/ZJY8aPddMI8bCYX1+ART3HfzNc8QkdKmI6&#10;uDOqwAYBeU5VIt3TzROwqyFLc2AHGtarLANelfy2Q/UHAAD//wMAUEsBAi0AFAAGAAgAAAAhALaD&#10;OJL+AAAA4QEAABMAAAAAAAAAAAAAAAAAAAAAAFtDb250ZW50X1R5cGVzXS54bWxQSwECLQAUAAYA&#10;CAAAACEAOP0h/9YAAACUAQAACwAAAAAAAAAAAAAAAAAvAQAAX3JlbHMvLnJlbHNQSwECLQAUAAYA&#10;CAAAACEAvApwdPwCAABSBgAADgAAAAAAAAAAAAAAAAAuAgAAZHJzL2Uyb0RvYy54bWxQSwECLQAU&#10;AAYACAAAACEA3eNhzeAAAAALAQAADwAAAAAAAAAAAAAAAABWBQAAZHJzL2Rvd25yZXYueG1sUEsF&#10;BgAAAAAEAAQA8wAAAGMGAAAAAA==&#10;" fillcolor="#243f60" stroked="f" strokeweight="0" insetpen="t">
              <v:shadow color="#ccc"/>
              <o:lock v:ext="edit" shapetype="t"/>
              <v:textbox inset="2.88pt,2.88pt,2.88pt,2.88pt"/>
              <w10:wrap anchorx="page" anchory="page"/>
            </v:rect>
          </w:pict>
        </mc:Fallback>
      </mc:AlternateContent>
    </w:r>
  </w:p>
  <w:p w:rsidR="00C03F00" w:rsidRDefault="00C0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BC3"/>
    <w:multiLevelType w:val="hybridMultilevel"/>
    <w:tmpl w:val="6798B176"/>
    <w:lvl w:ilvl="0" w:tplc="04090005">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17333"/>
    <w:multiLevelType w:val="hybridMultilevel"/>
    <w:tmpl w:val="7A965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651297"/>
    <w:multiLevelType w:val="hybridMultilevel"/>
    <w:tmpl w:val="D67C04B2"/>
    <w:lvl w:ilvl="0" w:tplc="04090005">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57F65"/>
    <w:multiLevelType w:val="hybridMultilevel"/>
    <w:tmpl w:val="44FE3C4E"/>
    <w:lvl w:ilvl="0" w:tplc="04090019">
      <w:start w:val="1"/>
      <w:numFmt w:val="lowerLetter"/>
      <w:lvlText w:val="%1."/>
      <w:lvlJc w:val="left"/>
      <w:pPr>
        <w:ind w:left="720" w:hanging="360"/>
      </w:pPr>
      <w:rPr>
        <w:rFont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F3959"/>
    <w:multiLevelType w:val="hybridMultilevel"/>
    <w:tmpl w:val="7C265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355784"/>
    <w:multiLevelType w:val="hybridMultilevel"/>
    <w:tmpl w:val="338CFBFE"/>
    <w:lvl w:ilvl="0" w:tplc="04090005">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103C6"/>
    <w:multiLevelType w:val="hybridMultilevel"/>
    <w:tmpl w:val="F4449AFE"/>
    <w:lvl w:ilvl="0" w:tplc="04090019">
      <w:start w:val="1"/>
      <w:numFmt w:val="lowerLetter"/>
      <w:lvlText w:val="%1."/>
      <w:lvlJc w:val="left"/>
      <w:pPr>
        <w:ind w:left="720" w:hanging="360"/>
      </w:pPr>
      <w:rPr>
        <w:rFont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C7511"/>
    <w:multiLevelType w:val="hybridMultilevel"/>
    <w:tmpl w:val="B97412B2"/>
    <w:lvl w:ilvl="0" w:tplc="04090019">
      <w:start w:val="1"/>
      <w:numFmt w:val="lowerLetter"/>
      <w:lvlText w:val="%1."/>
      <w:lvlJc w:val="left"/>
      <w:pPr>
        <w:ind w:left="720" w:hanging="360"/>
      </w:pPr>
      <w:rPr>
        <w:rFont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D73CA7"/>
    <w:multiLevelType w:val="hybridMultilevel"/>
    <w:tmpl w:val="3F46C078"/>
    <w:lvl w:ilvl="0" w:tplc="04090005">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5967E3"/>
    <w:multiLevelType w:val="hybridMultilevel"/>
    <w:tmpl w:val="6FC09850"/>
    <w:lvl w:ilvl="0" w:tplc="04090019">
      <w:start w:val="1"/>
      <w:numFmt w:val="lowerLetter"/>
      <w:lvlText w:val="%1."/>
      <w:lvlJc w:val="left"/>
      <w:pPr>
        <w:ind w:left="720" w:hanging="360"/>
      </w:pPr>
      <w:rPr>
        <w:rFont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AD0344"/>
    <w:multiLevelType w:val="hybridMultilevel"/>
    <w:tmpl w:val="D390EC70"/>
    <w:lvl w:ilvl="0" w:tplc="04090005">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8082A"/>
    <w:multiLevelType w:val="hybridMultilevel"/>
    <w:tmpl w:val="C5609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7B39B1"/>
    <w:multiLevelType w:val="hybridMultilevel"/>
    <w:tmpl w:val="E35E27CE"/>
    <w:lvl w:ilvl="0" w:tplc="04090019">
      <w:start w:val="1"/>
      <w:numFmt w:val="lowerLetter"/>
      <w:lvlText w:val="%1."/>
      <w:lvlJc w:val="left"/>
      <w:pPr>
        <w:ind w:left="720" w:hanging="360"/>
      </w:pPr>
      <w:rPr>
        <w:rFont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0"/>
  </w:num>
  <w:num w:numId="5">
    <w:abstractNumId w:val="3"/>
  </w:num>
  <w:num w:numId="6">
    <w:abstractNumId w:val="2"/>
  </w:num>
  <w:num w:numId="7">
    <w:abstractNumId w:val="12"/>
  </w:num>
  <w:num w:numId="8">
    <w:abstractNumId w:val="5"/>
  </w:num>
  <w:num w:numId="9">
    <w:abstractNumId w:val="6"/>
  </w:num>
  <w:num w:numId="10">
    <w:abstractNumId w:val="8"/>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20"/>
  <w:noPunctuationKerning/>
  <w:characterSpacingControl w:val="doNotCompress"/>
  <w:hdrShapeDefaults>
    <o:shapedefaults v:ext="edit" spidmax="4097">
      <o:colormru v:ext="edit" colors="#243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3E"/>
    <w:rsid w:val="00060A64"/>
    <w:rsid w:val="00087B68"/>
    <w:rsid w:val="000C7EC0"/>
    <w:rsid w:val="000D5843"/>
    <w:rsid w:val="000F077C"/>
    <w:rsid w:val="00126637"/>
    <w:rsid w:val="00141A29"/>
    <w:rsid w:val="00144233"/>
    <w:rsid w:val="00176110"/>
    <w:rsid w:val="001F05A6"/>
    <w:rsid w:val="0020064E"/>
    <w:rsid w:val="00213FD1"/>
    <w:rsid w:val="00264796"/>
    <w:rsid w:val="002D6D65"/>
    <w:rsid w:val="00302020"/>
    <w:rsid w:val="003E2401"/>
    <w:rsid w:val="00412063"/>
    <w:rsid w:val="0042720C"/>
    <w:rsid w:val="004477B8"/>
    <w:rsid w:val="004671E1"/>
    <w:rsid w:val="00483B1F"/>
    <w:rsid w:val="004B4834"/>
    <w:rsid w:val="0050143D"/>
    <w:rsid w:val="005025A3"/>
    <w:rsid w:val="00513B09"/>
    <w:rsid w:val="00552649"/>
    <w:rsid w:val="00576D42"/>
    <w:rsid w:val="005A3491"/>
    <w:rsid w:val="005B542E"/>
    <w:rsid w:val="005D3B05"/>
    <w:rsid w:val="0060288D"/>
    <w:rsid w:val="00626B2B"/>
    <w:rsid w:val="00627719"/>
    <w:rsid w:val="00643A32"/>
    <w:rsid w:val="006844D7"/>
    <w:rsid w:val="00697D63"/>
    <w:rsid w:val="006F77FA"/>
    <w:rsid w:val="007071F6"/>
    <w:rsid w:val="007C41C3"/>
    <w:rsid w:val="00817E46"/>
    <w:rsid w:val="00836DF0"/>
    <w:rsid w:val="008920B8"/>
    <w:rsid w:val="008A1002"/>
    <w:rsid w:val="008C6E4E"/>
    <w:rsid w:val="008F2D18"/>
    <w:rsid w:val="008F7AD7"/>
    <w:rsid w:val="009260E9"/>
    <w:rsid w:val="00957418"/>
    <w:rsid w:val="009E1AE9"/>
    <w:rsid w:val="009E41C0"/>
    <w:rsid w:val="009F698D"/>
    <w:rsid w:val="00A66BDD"/>
    <w:rsid w:val="00A91627"/>
    <w:rsid w:val="00AB3013"/>
    <w:rsid w:val="00AD614E"/>
    <w:rsid w:val="00AF3194"/>
    <w:rsid w:val="00B344F6"/>
    <w:rsid w:val="00B5245F"/>
    <w:rsid w:val="00B5672A"/>
    <w:rsid w:val="00C03F00"/>
    <w:rsid w:val="00CC5D79"/>
    <w:rsid w:val="00CD34DF"/>
    <w:rsid w:val="00CE1C70"/>
    <w:rsid w:val="00CE5291"/>
    <w:rsid w:val="00D77247"/>
    <w:rsid w:val="00D92723"/>
    <w:rsid w:val="00E1623A"/>
    <w:rsid w:val="00E47424"/>
    <w:rsid w:val="00E63A08"/>
    <w:rsid w:val="00E92BD4"/>
    <w:rsid w:val="00EA083E"/>
    <w:rsid w:val="00F30696"/>
    <w:rsid w:val="00F6712E"/>
    <w:rsid w:val="00F9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43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68"/>
    <w:pPr>
      <w:keepLines/>
      <w:spacing w:before="120"/>
    </w:pPr>
    <w:rPr>
      <w:rFonts w:ascii="Calibri" w:hAnsi="Calibri"/>
      <w:sz w:val="22"/>
      <w:szCs w:val="24"/>
    </w:rPr>
  </w:style>
  <w:style w:type="paragraph" w:styleId="Heading1">
    <w:name w:val="heading 1"/>
    <w:basedOn w:val="Normal"/>
    <w:next w:val="Date"/>
    <w:qFormat/>
    <w:pPr>
      <w:keepNext/>
      <w:pageBreakBefore/>
      <w:spacing w:before="0" w:after="240"/>
      <w:jc w:val="center"/>
      <w:outlineLvl w:val="0"/>
    </w:pPr>
    <w:rPr>
      <w:rFonts w:cs="Arial"/>
      <w:b/>
      <w:bCs/>
      <w:smallCaps/>
      <w:color w:val="333399"/>
      <w:kern w:val="32"/>
      <w:sz w:val="36"/>
      <w:szCs w:val="32"/>
    </w:rPr>
  </w:style>
  <w:style w:type="paragraph" w:styleId="Heading2">
    <w:name w:val="heading 2"/>
    <w:basedOn w:val="Normal"/>
    <w:next w:val="Normal"/>
    <w:qFormat/>
    <w:pPr>
      <w:keepNext/>
      <w:spacing w:before="240" w:after="60"/>
      <w:outlineLvl w:val="1"/>
    </w:pPr>
    <w:rPr>
      <w:rFonts w:cs="Arial"/>
      <w:b/>
      <w:bCs/>
      <w:iCs/>
      <w:smallCaps/>
      <w:color w:val="333399"/>
      <w:sz w:val="28"/>
      <w:szCs w:val="28"/>
    </w:rPr>
  </w:style>
  <w:style w:type="paragraph" w:styleId="Heading3">
    <w:name w:val="heading 3"/>
    <w:basedOn w:val="Normal"/>
    <w:next w:val="Normal"/>
    <w:qFormat/>
    <w:pPr>
      <w:keepNext/>
      <w:spacing w:before="240" w:after="120"/>
      <w:ind w:left="720"/>
      <w:outlineLvl w:val="2"/>
    </w:pPr>
    <w:rPr>
      <w:rFonts w:cs="Arial"/>
      <w:b/>
      <w:bCs/>
      <w:i/>
      <w:color w:val="333399"/>
      <w:sz w:val="26"/>
      <w:szCs w:val="26"/>
    </w:rPr>
  </w:style>
  <w:style w:type="paragraph" w:styleId="Heading4">
    <w:name w:val="heading 4"/>
    <w:basedOn w:val="Normal"/>
    <w:next w:val="Normal"/>
    <w:qFormat/>
    <w:rsid w:val="0060288D"/>
    <w:pPr>
      <w:keepNext/>
      <w:outlineLvl w:val="3"/>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Date">
    <w:name w:val="Date"/>
    <w:basedOn w:val="Normal"/>
    <w:next w:val="Heading2"/>
    <w:semiHidden/>
    <w:pPr>
      <w:jc w:val="right"/>
    </w:pPr>
  </w:style>
  <w:style w:type="paragraph" w:styleId="TOC1">
    <w:name w:val="toc 1"/>
    <w:basedOn w:val="Normal"/>
    <w:next w:val="Normal"/>
    <w:autoRedefine/>
    <w:uiPriority w:val="39"/>
    <w:unhideWhenUsed/>
    <w:qFormat/>
    <w:rsid w:val="005025A3"/>
    <w:pPr>
      <w:keepNext/>
      <w:tabs>
        <w:tab w:val="right" w:leader="dot" w:pos="8630"/>
      </w:tabs>
    </w:pPr>
    <w:rPr>
      <w:color w:val="333399"/>
      <w:sz w:val="28"/>
    </w:rPr>
  </w:style>
  <w:style w:type="paragraph" w:customStyle="1" w:styleId="Address1">
    <w:name w:val="Address 1"/>
    <w:next w:val="Normal"/>
    <w:rsid w:val="002D6D65"/>
    <w:pPr>
      <w:tabs>
        <w:tab w:val="left" w:pos="2340"/>
      </w:tabs>
      <w:jc w:val="center"/>
    </w:pPr>
    <w:rPr>
      <w:rFonts w:ascii="Arial" w:hAnsi="Arial" w:cs="Arial"/>
      <w:sz w:val="18"/>
      <w:szCs w:val="16"/>
    </w:rPr>
  </w:style>
  <w:style w:type="character" w:customStyle="1" w:styleId="FooterChar">
    <w:name w:val="Footer Char"/>
    <w:basedOn w:val="DefaultParagraphFont"/>
    <w:link w:val="Footer"/>
    <w:rsid w:val="009E41C0"/>
    <w:rPr>
      <w:rFonts w:ascii="Trebuchet MS" w:hAnsi="Trebuchet MS"/>
      <w:sz w:val="22"/>
      <w:szCs w:val="24"/>
      <w:lang w:val="en-US" w:eastAsia="en-US" w:bidi="ar-SA"/>
    </w:rPr>
  </w:style>
  <w:style w:type="table" w:styleId="TableGrid">
    <w:name w:val="Table Grid"/>
    <w:basedOn w:val="TableNormal"/>
    <w:uiPriority w:val="59"/>
    <w:rsid w:val="000F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
    <w:name w:val="Grid Table 5 Dark Accent 5"/>
    <w:basedOn w:val="TableNormal"/>
    <w:uiPriority w:val="50"/>
    <w:rsid w:val="000F07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CommentReference">
    <w:name w:val="annotation reference"/>
    <w:basedOn w:val="DefaultParagraphFont"/>
    <w:uiPriority w:val="99"/>
    <w:semiHidden/>
    <w:unhideWhenUsed/>
    <w:rsid w:val="00176110"/>
    <w:rPr>
      <w:sz w:val="16"/>
      <w:szCs w:val="16"/>
    </w:rPr>
  </w:style>
  <w:style w:type="paragraph" w:styleId="CommentText">
    <w:name w:val="annotation text"/>
    <w:basedOn w:val="Normal"/>
    <w:link w:val="CommentTextChar"/>
    <w:uiPriority w:val="99"/>
    <w:semiHidden/>
    <w:unhideWhenUsed/>
    <w:rsid w:val="00176110"/>
    <w:rPr>
      <w:sz w:val="20"/>
      <w:szCs w:val="20"/>
    </w:rPr>
  </w:style>
  <w:style w:type="character" w:customStyle="1" w:styleId="CommentTextChar">
    <w:name w:val="Comment Text Char"/>
    <w:basedOn w:val="DefaultParagraphFont"/>
    <w:link w:val="CommentText"/>
    <w:uiPriority w:val="99"/>
    <w:semiHidden/>
    <w:rsid w:val="00176110"/>
    <w:rPr>
      <w:rFonts w:ascii="Calibri" w:hAnsi="Calibri"/>
    </w:rPr>
  </w:style>
  <w:style w:type="paragraph" w:styleId="CommentSubject">
    <w:name w:val="annotation subject"/>
    <w:basedOn w:val="CommentText"/>
    <w:next w:val="CommentText"/>
    <w:link w:val="CommentSubjectChar"/>
    <w:uiPriority w:val="99"/>
    <w:semiHidden/>
    <w:unhideWhenUsed/>
    <w:rsid w:val="00176110"/>
    <w:rPr>
      <w:b/>
      <w:bCs/>
    </w:rPr>
  </w:style>
  <w:style w:type="character" w:customStyle="1" w:styleId="CommentSubjectChar">
    <w:name w:val="Comment Subject Char"/>
    <w:basedOn w:val="CommentTextChar"/>
    <w:link w:val="CommentSubject"/>
    <w:uiPriority w:val="99"/>
    <w:semiHidden/>
    <w:rsid w:val="00176110"/>
    <w:rPr>
      <w:rFonts w:ascii="Calibri" w:hAnsi="Calibri"/>
      <w:b/>
      <w:bCs/>
    </w:rPr>
  </w:style>
  <w:style w:type="paragraph" w:styleId="BalloonText">
    <w:name w:val="Balloon Text"/>
    <w:basedOn w:val="Normal"/>
    <w:link w:val="BalloonTextChar"/>
    <w:uiPriority w:val="99"/>
    <w:semiHidden/>
    <w:unhideWhenUsed/>
    <w:rsid w:val="0017611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1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68"/>
    <w:pPr>
      <w:keepLines/>
      <w:spacing w:before="120"/>
    </w:pPr>
    <w:rPr>
      <w:rFonts w:ascii="Calibri" w:hAnsi="Calibri"/>
      <w:sz w:val="22"/>
      <w:szCs w:val="24"/>
    </w:rPr>
  </w:style>
  <w:style w:type="paragraph" w:styleId="Heading1">
    <w:name w:val="heading 1"/>
    <w:basedOn w:val="Normal"/>
    <w:next w:val="Date"/>
    <w:qFormat/>
    <w:pPr>
      <w:keepNext/>
      <w:pageBreakBefore/>
      <w:spacing w:before="0" w:after="240"/>
      <w:jc w:val="center"/>
      <w:outlineLvl w:val="0"/>
    </w:pPr>
    <w:rPr>
      <w:rFonts w:cs="Arial"/>
      <w:b/>
      <w:bCs/>
      <w:smallCaps/>
      <w:color w:val="333399"/>
      <w:kern w:val="32"/>
      <w:sz w:val="36"/>
      <w:szCs w:val="32"/>
    </w:rPr>
  </w:style>
  <w:style w:type="paragraph" w:styleId="Heading2">
    <w:name w:val="heading 2"/>
    <w:basedOn w:val="Normal"/>
    <w:next w:val="Normal"/>
    <w:qFormat/>
    <w:pPr>
      <w:keepNext/>
      <w:spacing w:before="240" w:after="60"/>
      <w:outlineLvl w:val="1"/>
    </w:pPr>
    <w:rPr>
      <w:rFonts w:cs="Arial"/>
      <w:b/>
      <w:bCs/>
      <w:iCs/>
      <w:smallCaps/>
      <w:color w:val="333399"/>
      <w:sz w:val="28"/>
      <w:szCs w:val="28"/>
    </w:rPr>
  </w:style>
  <w:style w:type="paragraph" w:styleId="Heading3">
    <w:name w:val="heading 3"/>
    <w:basedOn w:val="Normal"/>
    <w:next w:val="Normal"/>
    <w:qFormat/>
    <w:pPr>
      <w:keepNext/>
      <w:spacing w:before="240" w:after="120"/>
      <w:ind w:left="720"/>
      <w:outlineLvl w:val="2"/>
    </w:pPr>
    <w:rPr>
      <w:rFonts w:cs="Arial"/>
      <w:b/>
      <w:bCs/>
      <w:i/>
      <w:color w:val="333399"/>
      <w:sz w:val="26"/>
      <w:szCs w:val="26"/>
    </w:rPr>
  </w:style>
  <w:style w:type="paragraph" w:styleId="Heading4">
    <w:name w:val="heading 4"/>
    <w:basedOn w:val="Normal"/>
    <w:next w:val="Normal"/>
    <w:qFormat/>
    <w:rsid w:val="0060288D"/>
    <w:pPr>
      <w:keepNext/>
      <w:outlineLvl w:val="3"/>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Date">
    <w:name w:val="Date"/>
    <w:basedOn w:val="Normal"/>
    <w:next w:val="Heading2"/>
    <w:semiHidden/>
    <w:pPr>
      <w:jc w:val="right"/>
    </w:pPr>
  </w:style>
  <w:style w:type="paragraph" w:styleId="TOC1">
    <w:name w:val="toc 1"/>
    <w:basedOn w:val="Normal"/>
    <w:next w:val="Normal"/>
    <w:autoRedefine/>
    <w:uiPriority w:val="39"/>
    <w:unhideWhenUsed/>
    <w:qFormat/>
    <w:rsid w:val="005025A3"/>
    <w:pPr>
      <w:keepNext/>
      <w:tabs>
        <w:tab w:val="right" w:leader="dot" w:pos="8630"/>
      </w:tabs>
    </w:pPr>
    <w:rPr>
      <w:color w:val="333399"/>
      <w:sz w:val="28"/>
    </w:rPr>
  </w:style>
  <w:style w:type="paragraph" w:customStyle="1" w:styleId="Address1">
    <w:name w:val="Address 1"/>
    <w:next w:val="Normal"/>
    <w:rsid w:val="002D6D65"/>
    <w:pPr>
      <w:tabs>
        <w:tab w:val="left" w:pos="2340"/>
      </w:tabs>
      <w:jc w:val="center"/>
    </w:pPr>
    <w:rPr>
      <w:rFonts w:ascii="Arial" w:hAnsi="Arial" w:cs="Arial"/>
      <w:sz w:val="18"/>
      <w:szCs w:val="16"/>
    </w:rPr>
  </w:style>
  <w:style w:type="character" w:customStyle="1" w:styleId="FooterChar">
    <w:name w:val="Footer Char"/>
    <w:basedOn w:val="DefaultParagraphFont"/>
    <w:link w:val="Footer"/>
    <w:rsid w:val="009E41C0"/>
    <w:rPr>
      <w:rFonts w:ascii="Trebuchet MS" w:hAnsi="Trebuchet MS"/>
      <w:sz w:val="22"/>
      <w:szCs w:val="24"/>
      <w:lang w:val="en-US" w:eastAsia="en-US" w:bidi="ar-SA"/>
    </w:rPr>
  </w:style>
  <w:style w:type="table" w:styleId="TableGrid">
    <w:name w:val="Table Grid"/>
    <w:basedOn w:val="TableNormal"/>
    <w:uiPriority w:val="59"/>
    <w:rsid w:val="000F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
    <w:name w:val="Grid Table 5 Dark Accent 5"/>
    <w:basedOn w:val="TableNormal"/>
    <w:uiPriority w:val="50"/>
    <w:rsid w:val="000F07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CommentReference">
    <w:name w:val="annotation reference"/>
    <w:basedOn w:val="DefaultParagraphFont"/>
    <w:uiPriority w:val="99"/>
    <w:semiHidden/>
    <w:unhideWhenUsed/>
    <w:rsid w:val="00176110"/>
    <w:rPr>
      <w:sz w:val="16"/>
      <w:szCs w:val="16"/>
    </w:rPr>
  </w:style>
  <w:style w:type="paragraph" w:styleId="CommentText">
    <w:name w:val="annotation text"/>
    <w:basedOn w:val="Normal"/>
    <w:link w:val="CommentTextChar"/>
    <w:uiPriority w:val="99"/>
    <w:semiHidden/>
    <w:unhideWhenUsed/>
    <w:rsid w:val="00176110"/>
    <w:rPr>
      <w:sz w:val="20"/>
      <w:szCs w:val="20"/>
    </w:rPr>
  </w:style>
  <w:style w:type="character" w:customStyle="1" w:styleId="CommentTextChar">
    <w:name w:val="Comment Text Char"/>
    <w:basedOn w:val="DefaultParagraphFont"/>
    <w:link w:val="CommentText"/>
    <w:uiPriority w:val="99"/>
    <w:semiHidden/>
    <w:rsid w:val="00176110"/>
    <w:rPr>
      <w:rFonts w:ascii="Calibri" w:hAnsi="Calibri"/>
    </w:rPr>
  </w:style>
  <w:style w:type="paragraph" w:styleId="CommentSubject">
    <w:name w:val="annotation subject"/>
    <w:basedOn w:val="CommentText"/>
    <w:next w:val="CommentText"/>
    <w:link w:val="CommentSubjectChar"/>
    <w:uiPriority w:val="99"/>
    <w:semiHidden/>
    <w:unhideWhenUsed/>
    <w:rsid w:val="00176110"/>
    <w:rPr>
      <w:b/>
      <w:bCs/>
    </w:rPr>
  </w:style>
  <w:style w:type="character" w:customStyle="1" w:styleId="CommentSubjectChar">
    <w:name w:val="Comment Subject Char"/>
    <w:basedOn w:val="CommentTextChar"/>
    <w:link w:val="CommentSubject"/>
    <w:uiPriority w:val="99"/>
    <w:semiHidden/>
    <w:rsid w:val="00176110"/>
    <w:rPr>
      <w:rFonts w:ascii="Calibri" w:hAnsi="Calibri"/>
      <w:b/>
      <w:bCs/>
    </w:rPr>
  </w:style>
  <w:style w:type="paragraph" w:styleId="BalloonText">
    <w:name w:val="Balloon Text"/>
    <w:basedOn w:val="Normal"/>
    <w:link w:val="BalloonTextChar"/>
    <w:uiPriority w:val="99"/>
    <w:semiHidden/>
    <w:unhideWhenUsed/>
    <w:rsid w:val="0017611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rvey.LHARVEYSPRO\Documents\My%20Templates\DALBAR%20Letterhead.%20v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DALBAR Letterhead. v7</Template>
  <TotalTime>1</TotalTime>
  <Pages>4</Pages>
  <Words>576</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Windows User</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DALBAR</dc:creator>
  <cp:lastModifiedBy>Susan Oberton</cp:lastModifiedBy>
  <cp:revision>2</cp:revision>
  <cp:lastPrinted>2001-01-30T15:23:00Z</cp:lastPrinted>
  <dcterms:created xsi:type="dcterms:W3CDTF">2017-05-16T18:37:00Z</dcterms:created>
  <dcterms:modified xsi:type="dcterms:W3CDTF">2017-05-16T18:37:00Z</dcterms:modified>
</cp:coreProperties>
</file>